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sz w:val="40"/>
          <w:szCs w:val="40"/>
          <w:rtl w:val="0"/>
        </w:rPr>
        <w:t xml:space="preserve">How Do Inequalities in Childcare Accessibility and </w:t>
      </w:r>
      <w:r w:rsidDel="00000000" w:rsidR="00000000" w:rsidRPr="00000000">
        <w:rPr>
          <w:rFonts w:ascii="Times New Roman" w:cs="Times New Roman" w:eastAsia="Times New Roman" w:hAnsi="Times New Roman"/>
          <w:sz w:val="40"/>
          <w:szCs w:val="40"/>
          <w:rtl w:val="0"/>
        </w:rPr>
        <w:t xml:space="preserve">Employment Outcomes Among Black Mothers Influence One Another?</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2">
      <w:pPr>
        <w:spacing w:after="1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Abstract</w:t>
      </w:r>
    </w:p>
    <w:p w:rsidR="00000000" w:rsidDel="00000000" w:rsidP="00000000" w:rsidRDefault="00000000" w:rsidRPr="00000000" w14:paraId="00000004">
      <w:pPr>
        <w:spacing w:after="0" w:line="480" w:lineRule="auto"/>
        <w:ind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This paper examines the relationship between the </w:t>
      </w:r>
      <w:r w:rsidDel="00000000" w:rsidR="00000000" w:rsidRPr="00000000">
        <w:rPr>
          <w:rFonts w:ascii="Times New Roman" w:cs="Times New Roman" w:eastAsia="Times New Roman" w:hAnsi="Times New Roman"/>
          <w:rtl w:val="0"/>
        </w:rPr>
        <w:t xml:space="preserve">accessibility</w:t>
      </w:r>
      <w:r w:rsidDel="00000000" w:rsidR="00000000" w:rsidRPr="00000000">
        <w:rPr>
          <w:rFonts w:ascii="Times New Roman" w:cs="Times New Roman" w:eastAsia="Times New Roman" w:hAnsi="Times New Roman"/>
          <w:rtl w:val="0"/>
        </w:rPr>
        <w:t xml:space="preserve"> of childcare and the labor market outcomes of Black working mothers in the United States. In the modern era, there are several barriers within the sectors of accessing care as well as the sector of employment structure that inhibit Black working mothers from finding stability within the other. Using a meta-analysis, this review investigates how the obstacles to accessing childcare interact with the structure of the labor market to influence the working conditions and economic security of Black mothers. The research redefines the criteria for access in order to show that the methods currently used to assess childcare accessibility are inadequate and links these neglected difficulties to adverse employment outcomes for Black mothers. Moreover, the review presents childcare and employment as interdependent systems rather than as separate policy areas. By relating the barriers to childcare with labor market conditions, the study shows how problems in one system can exacerbate consequences in the other and thus produce a mutually reinforcing cycle that affects the experiences of Black mothers.</w:t>
      </w:r>
      <w:r w:rsidDel="00000000" w:rsidR="00000000" w:rsidRPr="00000000">
        <w:rPr>
          <w:rtl w:val="0"/>
        </w:rPr>
      </w:r>
    </w:p>
    <w:p w:rsidR="00000000" w:rsidDel="00000000" w:rsidP="00000000" w:rsidRDefault="00000000" w:rsidRPr="00000000" w14:paraId="00000005">
      <w:pPr>
        <w:spacing w:after="0" w:line="480" w:lineRule="auto"/>
        <w:ind w:firstLine="72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Keywords</w:t>
      </w:r>
    </w:p>
    <w:p w:rsidR="00000000" w:rsidDel="00000000" w:rsidP="00000000" w:rsidRDefault="00000000" w:rsidRPr="00000000" w14:paraId="00000007">
      <w:pPr>
        <w:spacing w:after="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Black Working Mothers, Childcare, Occupational Inequality, Affordability, Cultural Considerations</w:t>
      </w:r>
    </w:p>
    <w:p w:rsidR="00000000" w:rsidDel="00000000" w:rsidP="00000000" w:rsidRDefault="00000000" w:rsidRPr="00000000" w14:paraId="00000008">
      <w:pPr>
        <w:spacing w:after="0" w:line="48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spacing w:after="160" w:before="8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Introduction</w:t>
      </w:r>
    </w:p>
    <w:p w:rsidR="00000000" w:rsidDel="00000000" w:rsidP="00000000" w:rsidRDefault="00000000" w:rsidRPr="00000000" w14:paraId="0000000A">
      <w:pPr>
        <w:spacing w:after="0" w:before="8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Childcare Access as an Equity Issue</w:t>
      </w:r>
    </w:p>
    <w:p w:rsidR="00000000" w:rsidDel="00000000" w:rsidP="00000000" w:rsidRDefault="00000000" w:rsidRPr="00000000" w14:paraId="0000000B">
      <w:pPr>
        <w:spacing w:after="0" w:before="8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Childcare access, a driver of labor market equity and economic stability in the United States, significantly impacts working parents and overall workforce productivity. The cost of childcare has increased sharply in recent years, with national prices increasing by nearly 30 percent between 2020 and 2024. This is a rate that far outpaces general inflation (Child Care Aware of America, 2024). With these shifts in the economic landscape, family financial stability has been substantially compromised, making it extremely difficult for many parents to secure care that is both reliable and affordable. The high cost and limited supply of care pose enormous economic risks for families, including adverse employment outcomes. These can include reduced working hours, delayed career advancement, and forced labor market exit (Luengo-Prado &amp; Zhao, 2026). Moreover, these adverse outcomes particularly affect marginalized </w:t>
      </w:r>
      <w:r w:rsidDel="00000000" w:rsidR="00000000" w:rsidRPr="00000000">
        <w:rPr>
          <w:rFonts w:ascii="Times New Roman" w:cs="Times New Roman" w:eastAsia="Times New Roman" w:hAnsi="Times New Roman"/>
          <w:rtl w:val="0"/>
        </w:rPr>
        <w:t xml:space="preserve">communities</w:t>
      </w:r>
      <w:r w:rsidDel="00000000" w:rsidR="00000000" w:rsidRPr="00000000">
        <w:rPr>
          <w:rFonts w:ascii="Times New Roman" w:cs="Times New Roman" w:eastAsia="Times New Roman" w:hAnsi="Times New Roman"/>
          <w:rtl w:val="0"/>
        </w:rPr>
        <w:t xml:space="preserve"> (National Women’s Law Center, 2025). </w:t>
      </w:r>
    </w:p>
    <w:p w:rsidR="00000000" w:rsidDel="00000000" w:rsidP="00000000" w:rsidRDefault="00000000" w:rsidRPr="00000000" w14:paraId="0000000C">
      <w:pPr>
        <w:spacing w:after="40" w:line="480" w:lineRule="auto"/>
        <w:ind w:firstLine="72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To understand this issue, it is essential to analyze childcare through an equity lens. </w:t>
      </w:r>
      <w:r w:rsidDel="00000000" w:rsidR="00000000" w:rsidRPr="00000000">
        <w:rPr>
          <w:rFonts w:ascii="Times New Roman" w:cs="Times New Roman" w:eastAsia="Times New Roman" w:hAnsi="Times New Roman"/>
          <w:rtl w:val="0"/>
        </w:rPr>
        <w:t xml:space="preserve">Most standard market analyses tend to concentrate mainly on the basic price and the capacity of providers in different regions. On the other hand, an equity-based approach recognizes the systemic obstacles to accessing care that arise from socioeconomic factors such as household wealth, racial wage gaps, and occupation (United Way of the National Capital Area, 2023). For instance, although childcare facilities are available in all geographical areas, racial disparities in access and the financial strain on families still exist (United Way of the National Capital Area, 2023). </w:t>
      </w:r>
      <w:r w:rsidDel="00000000" w:rsidR="00000000" w:rsidRPr="00000000">
        <w:rPr>
          <w:rFonts w:ascii="Times New Roman" w:cs="Times New Roman" w:eastAsia="Times New Roman" w:hAnsi="Times New Roman"/>
          <w:rtl w:val="0"/>
        </w:rPr>
        <w:t xml:space="preserve">Applying an equity framework acknowledges the role of individual background and economic situations in contribution to unfair challenges created, especially for Black mothers.</w:t>
      </w:r>
      <w:r w:rsidDel="00000000" w:rsidR="00000000" w:rsidRPr="00000000">
        <w:rPr>
          <w:rtl w:val="0"/>
        </w:rPr>
      </w:r>
    </w:p>
    <w:p w:rsidR="00000000" w:rsidDel="00000000" w:rsidP="00000000" w:rsidRDefault="00000000" w:rsidRPr="00000000" w14:paraId="0000000D">
      <w:pPr>
        <w:spacing w:after="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Historical and Legal Landscape</w:t>
      </w:r>
    </w:p>
    <w:p w:rsidR="00000000" w:rsidDel="00000000" w:rsidP="00000000" w:rsidRDefault="00000000" w:rsidRPr="00000000" w14:paraId="0000000E">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understand modern care infrastructure, it is necessary to examine its historical evolution. During the colonial era and throughout much of the nineteenth century, child rearing was handled primarily at the household </w:t>
      </w:r>
      <w:r w:rsidDel="00000000" w:rsidR="00000000" w:rsidRPr="00000000">
        <w:rPr>
          <w:rFonts w:ascii="Times New Roman" w:cs="Times New Roman" w:eastAsia="Times New Roman" w:hAnsi="Times New Roman"/>
          <w:rtl w:val="0"/>
        </w:rPr>
        <w:t xml:space="preserve">level</w:t>
      </w:r>
      <w:r w:rsidDel="00000000" w:rsidR="00000000" w:rsidRPr="00000000">
        <w:rPr>
          <w:rFonts w:ascii="Times New Roman" w:cs="Times New Roman" w:eastAsia="Times New Roman" w:hAnsi="Times New Roman"/>
          <w:rtl w:val="0"/>
        </w:rPr>
        <w:t xml:space="preserve"> (Hatfield, 2026). Most families operated within agricultural economies where domestic production was the sole means of making a living, enabling parents to care for children simultaneously with their formal “</w:t>
      </w:r>
      <w:r w:rsidDel="00000000" w:rsidR="00000000" w:rsidRPr="00000000">
        <w:rPr>
          <w:rFonts w:ascii="Times New Roman" w:cs="Times New Roman" w:eastAsia="Times New Roman" w:hAnsi="Times New Roman"/>
          <w:rtl w:val="0"/>
        </w:rPr>
        <w:t xml:space="preserve">jobs</w:t>
      </w:r>
      <w:r w:rsidDel="00000000" w:rsidR="00000000" w:rsidRPr="00000000">
        <w:rPr>
          <w:rFonts w:ascii="Times New Roman" w:cs="Times New Roman" w:eastAsia="Times New Roman" w:hAnsi="Times New Roman"/>
          <w:rtl w:val="0"/>
        </w:rPr>
        <w:t xml:space="preserve">.”  Additionally, extended relatives and neighbors often assisted in the care process when parents were unable, deeming formal childcare infrastructure </w:t>
      </w:r>
      <w:r w:rsidDel="00000000" w:rsidR="00000000" w:rsidRPr="00000000">
        <w:rPr>
          <w:rFonts w:ascii="Times New Roman" w:cs="Times New Roman" w:eastAsia="Times New Roman" w:hAnsi="Times New Roman"/>
          <w:rtl w:val="0"/>
        </w:rPr>
        <w:t xml:space="preserve">unnecessary</w:t>
      </w:r>
      <w:r w:rsidDel="00000000" w:rsidR="00000000" w:rsidRPr="00000000">
        <w:rPr>
          <w:rFonts w:ascii="Times New Roman" w:cs="Times New Roman" w:eastAsia="Times New Roman" w:hAnsi="Times New Roman"/>
          <w:rtl w:val="0"/>
        </w:rPr>
        <w:t xml:space="preserve"> (Hatfield, 2026). </w:t>
      </w:r>
      <w:r w:rsidDel="00000000" w:rsidR="00000000" w:rsidRPr="00000000">
        <w:rPr>
          <w:rFonts w:ascii="Times New Roman" w:cs="Times New Roman" w:eastAsia="Times New Roman" w:hAnsi="Times New Roman"/>
          <w:rtl w:val="0"/>
        </w:rPr>
        <w:t xml:space="preserve">Since during the time social norms regarded domestic life as a mother's main responsibility, child rearing was seen as an extension of family duty instead of something that required formal external arrangements (Hatfield, 2026).</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F">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However, the Industrial Revolution permanently altered this arrangement. As manufacturing expanded throughout the nineteenth century, labor shifted outside of the home and into urban factories. This physical separation between work and home created novel caregiving challenges, particularly for low-income families that relied on dual incomes to support their households. In response, charitable organizations, such as religious groups, established "day nurseries" during the mid-</w:t>
      </w:r>
      <w:r w:rsidDel="00000000" w:rsidR="00000000" w:rsidRPr="00000000">
        <w:rPr>
          <w:rFonts w:ascii="Times New Roman" w:cs="Times New Roman" w:eastAsia="Times New Roman" w:hAnsi="Times New Roman"/>
          <w:rtl w:val="0"/>
        </w:rPr>
        <w:t xml:space="preserve">1800s</w:t>
      </w:r>
      <w:r w:rsidDel="00000000" w:rsidR="00000000" w:rsidRPr="00000000">
        <w:rPr>
          <w:rFonts w:ascii="Times New Roman" w:cs="Times New Roman" w:eastAsia="Times New Roman" w:hAnsi="Times New Roman"/>
          <w:rtl w:val="0"/>
        </w:rPr>
        <w:t xml:space="preserve"> (Stoltzfus, 2000). Unlike modern early childhood education programs, these nurseries functioned primarily as social welfare facilities to supervise children while mothers worked (Stoltzfus, 2000), demonstrating that economic survival often took priority over traditional cultural </w:t>
      </w:r>
      <w:r w:rsidDel="00000000" w:rsidR="00000000" w:rsidRPr="00000000">
        <w:rPr>
          <w:rFonts w:ascii="Times New Roman" w:cs="Times New Roman" w:eastAsia="Times New Roman" w:hAnsi="Times New Roman"/>
          <w:rtl w:val="0"/>
        </w:rPr>
        <w:t xml:space="preserve">expectations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0">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Federal involvement in childcare was first formally introduced during the Second World </w:t>
      </w:r>
      <w:r w:rsidDel="00000000" w:rsidR="00000000" w:rsidRPr="00000000">
        <w:rPr>
          <w:rFonts w:ascii="Times New Roman" w:cs="Times New Roman" w:eastAsia="Times New Roman" w:hAnsi="Times New Roman"/>
          <w:rtl w:val="0"/>
        </w:rPr>
        <w:t xml:space="preserve">War</w:t>
      </w:r>
      <w:r w:rsidDel="00000000" w:rsidR="00000000" w:rsidRPr="00000000">
        <w:rPr>
          <w:rFonts w:ascii="Times New Roman" w:cs="Times New Roman" w:eastAsia="Times New Roman" w:hAnsi="Times New Roman"/>
          <w:rtl w:val="0"/>
        </w:rPr>
        <w:t xml:space="preserve"> (Stolzfus, 2000). With millions of men deployed overseas, women were recruited into defense factories and civilian industries to sustain national production and the overall economy. To support this surge in female labor, Congress passed the Lanham Act of </w:t>
      </w:r>
      <w:r w:rsidDel="00000000" w:rsidR="00000000" w:rsidRPr="00000000">
        <w:rPr>
          <w:rFonts w:ascii="Times New Roman" w:cs="Times New Roman" w:eastAsia="Times New Roman" w:hAnsi="Times New Roman"/>
          <w:rtl w:val="0"/>
        </w:rPr>
        <w:t xml:space="preserve">1940</w:t>
      </w:r>
      <w:r w:rsidDel="00000000" w:rsidR="00000000" w:rsidRPr="00000000">
        <w:rPr>
          <w:rFonts w:ascii="Times New Roman" w:cs="Times New Roman" w:eastAsia="Times New Roman" w:hAnsi="Times New Roman"/>
          <w:rtl w:val="0"/>
        </w:rPr>
        <w:t xml:space="preserve"> (Lanham Public War Housing Act, 1940). Originally enacted to address housing shortages near defense sites, the law was altered to fund federally subsidized childcare centers for mothers working in essential war industries. Across its lifespan, the program funded over 3,000 facilities and served approximately 600,000 children nationwide (Congressional Research Service, 2000). This feat marked a rare moment where the federal government explicitly acknowledged accessible childcare as being vital to national workforce productivity. However, this acknowledgement was brief. Once the war ended, government funds were withdrawn as federal policy shifted back to encouraging women to return to domestic roles (Congressional Research Service, 2018).</w:t>
      </w:r>
    </w:p>
    <w:p w:rsidR="00000000" w:rsidDel="00000000" w:rsidP="00000000" w:rsidRDefault="00000000" w:rsidRPr="00000000" w14:paraId="00000011">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Despite social pressures, female labor force participation continued to trend upward throughout the 1950s and 1960s (U.S. Bureau of Labor Statistics, 2017). It was driven by an expanding economy and a greater need for dual-income households (Yellen, 2017). The federal government re-entered early childhood policy with the launch of Head Start in 1965 as part of President Lyndon B. Johnson’s War on Poverty (Congressional Research Service, 2014). Yet, Head Start was fundamentally different from wartime childcare initiatives because its objective was not to facilitate maternal employment but instead to prepare low-income children for elementary school through targeted support (Congressional Record, 1965).</w:t>
      </w:r>
    </w:p>
    <w:p w:rsidR="00000000" w:rsidDel="00000000" w:rsidP="00000000" w:rsidRDefault="00000000" w:rsidRPr="00000000" w14:paraId="00000012">
      <w:pPr>
        <w:spacing w:after="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late 1960s, rising rates of maternal employment pushed policymakers to view affordable care as a broader labor market issue. This shift culminated in the passage of the Comprehensive Child Development Act of 1971, which proposed a nationwide network of federally funded childcare centers accessible to families across all income brackets (Roth, 1976). However, President Richard Nixon vetoed the legislation in December 1971. He argued that childcare should remain the private responsibility of individual families (Nixon, 1971). Nixon’s veto set the trajectory for modern American childcare policy and shifted federal strategy away from universal public systems towards more targeted approaches, like the Child Care and Development Block Grant of 1990, that offer subsidies while leaving the private market to offer care (Congressional Research Service, 2024).</w:t>
      </w:r>
      <w:r w:rsidDel="00000000" w:rsidR="00000000" w:rsidRPr="00000000">
        <w:rPr>
          <w:rtl w:val="0"/>
        </w:rPr>
      </w:r>
    </w:p>
    <w:p w:rsidR="00000000" w:rsidDel="00000000" w:rsidP="00000000" w:rsidRDefault="00000000" w:rsidRPr="00000000" w14:paraId="00000013">
      <w:pPr>
        <w:spacing w:after="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Modern Structural Barriers and Economic Impacts</w:t>
      </w:r>
    </w:p>
    <w:p w:rsidR="00000000" w:rsidDel="00000000" w:rsidP="00000000" w:rsidRDefault="00000000" w:rsidRPr="00000000" w14:paraId="00000014">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impact of those past policy choices can be seen in the current system of care. Today's access to affordable care still largely depends on an individual's financial situation and where they live.</w:t>
      </w:r>
      <w:r w:rsidDel="00000000" w:rsidR="00000000" w:rsidRPr="00000000">
        <w:rPr>
          <w:rFonts w:ascii="Times New Roman" w:cs="Times New Roman" w:eastAsia="Times New Roman" w:hAnsi="Times New Roman"/>
          <w:rtl w:val="0"/>
        </w:rPr>
        <w:t xml:space="preserve"> Data from Child Care Aware of America places the national average price of childcare at approximately $13,128 per child annually in </w:t>
      </w:r>
      <w:r w:rsidDel="00000000" w:rsidR="00000000" w:rsidRPr="00000000">
        <w:rPr>
          <w:rFonts w:ascii="Times New Roman" w:cs="Times New Roman" w:eastAsia="Times New Roman" w:hAnsi="Times New Roman"/>
          <w:rtl w:val="0"/>
        </w:rPr>
        <w:t xml:space="preserve">2024</w:t>
      </w:r>
      <w:r w:rsidDel="00000000" w:rsidR="00000000" w:rsidRPr="00000000">
        <w:rPr>
          <w:rFonts w:ascii="Times New Roman" w:cs="Times New Roman" w:eastAsia="Times New Roman" w:hAnsi="Times New Roman"/>
          <w:rtl w:val="0"/>
        </w:rPr>
        <w:t xml:space="preserve"> (Child Care Aware of America, 2025). This expense routinely exceeds the federal affordability benchmark established by the U.S. Department of Health and Human Services, which caps affordable care a</w:t>
      </w:r>
      <w:r w:rsidDel="00000000" w:rsidR="00000000" w:rsidRPr="00000000">
        <w:rPr>
          <w:rFonts w:ascii="Times New Roman" w:cs="Times New Roman" w:eastAsia="Times New Roman" w:hAnsi="Times New Roman"/>
          <w:rtl w:val="0"/>
        </w:rPr>
        <w:t xml:space="preserve">t </w:t>
      </w:r>
      <w:r w:rsidDel="00000000" w:rsidR="00000000" w:rsidRPr="00000000">
        <w:rPr>
          <w:rFonts w:ascii="Times New Roman" w:cs="Times New Roman" w:eastAsia="Times New Roman" w:hAnsi="Times New Roman"/>
          <w:rtl w:val="0"/>
        </w:rPr>
        <w:t xml:space="preserve">7 percent of household income</w:t>
      </w:r>
      <w:r w:rsidDel="00000000" w:rsidR="00000000" w:rsidRPr="00000000">
        <w:rPr>
          <w:rFonts w:ascii="Times New Roman" w:cs="Times New Roman" w:eastAsia="Times New Roman" w:hAnsi="Times New Roman"/>
          <w:rtl w:val="0"/>
        </w:rPr>
        <w:t xml:space="preserve">: average household income in 2025 was $87,460 (U.S. Census Bureau, 2026), 7</w:t>
      </w:r>
      <w:r w:rsidDel="00000000" w:rsidR="00000000" w:rsidRPr="00000000">
        <w:rPr>
          <w:rFonts w:ascii="Times New Roman" w:cs="Times New Roman" w:eastAsia="Times New Roman" w:hAnsi="Times New Roman"/>
          <w:rtl w:val="0"/>
        </w:rPr>
        <w:t xml:space="preserve"> percent of which is $6,122.2. This puts the average annual cost of childcare at more than double the amount that would be considered affordable under this federal benchmark. In fact, in several states, </w:t>
      </w:r>
      <w:r w:rsidDel="00000000" w:rsidR="00000000" w:rsidRPr="00000000">
        <w:rPr>
          <w:rFonts w:ascii="Times New Roman" w:cs="Times New Roman" w:eastAsia="Times New Roman" w:hAnsi="Times New Roman"/>
          <w:rtl w:val="0"/>
        </w:rPr>
        <w:t xml:space="preserve">infant care prices often exceed in-state public university tuition </w:t>
      </w:r>
      <w:r w:rsidDel="00000000" w:rsidR="00000000" w:rsidRPr="00000000">
        <w:rPr>
          <w:rFonts w:ascii="Times New Roman" w:cs="Times New Roman" w:eastAsia="Times New Roman" w:hAnsi="Times New Roman"/>
          <w:rtl w:val="0"/>
        </w:rPr>
        <w:t xml:space="preserve">(US Department of Labor, 2016).</w:t>
      </w:r>
    </w:p>
    <w:p w:rsidR="00000000" w:rsidDel="00000000" w:rsidP="00000000" w:rsidRDefault="00000000" w:rsidRPr="00000000" w14:paraId="00000015">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Beyond simply financial constraints, families face severe supply shortages that create "childcare deserts." These are locations where demand far exceeds licensed capacity of childcare centers. These gaps lead to limited options for families, particularly in rural areas and low-income urban neighborhoods (Center for American Progress, 2026). The resulting economic consequences go well beyond individual households. </w:t>
      </w:r>
      <w:r w:rsidDel="00000000" w:rsidR="00000000" w:rsidRPr="00000000">
        <w:rPr>
          <w:rFonts w:ascii="Times New Roman" w:cs="Times New Roman" w:eastAsia="Times New Roman" w:hAnsi="Times New Roman"/>
          <w:rtl w:val="0"/>
        </w:rPr>
        <w:t xml:space="preserve">If parents do not have access to reliable childcare, they are usually forced to reduce the number of hours they work, give up promotional opportunities, or leave the labor market altogether.</w:t>
      </w:r>
      <w:r w:rsidDel="00000000" w:rsidR="00000000" w:rsidRPr="00000000">
        <w:rPr>
          <w:rFonts w:ascii="Times New Roman" w:cs="Times New Roman" w:eastAsia="Times New Roman" w:hAnsi="Times New Roman"/>
          <w:rtl w:val="0"/>
        </w:rPr>
        <w:t xml:space="preserve"> (US Census Bureau, 2026). These effects underscore childcare access as a core labor market driver that directly influences overall workforce productivity.</w:t>
      </w:r>
    </w:p>
    <w:p w:rsidR="00000000" w:rsidDel="00000000" w:rsidP="00000000" w:rsidRDefault="00000000" w:rsidRPr="00000000" w14:paraId="00000016">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Though childcare barriers affect working families broadly, obstacles to accessing care are not experienced equally across different socioeconomic groups. For Black mothers, historical economic inequalities have negatively impacted the resources available to secure consistent childcare. These economic disparities are particularly significant given the central role Black mothers’ earnings play in household financial security. According to a 2025 article by the Center for American Progress, 69 percent of Black mothers are the sole or primary breadwinners for their families, the highest proportion among major racial and ethnic groups. This is in comparison with 56 percent of Native American mothers, 53 percent of multiracial mothers, 45 percent of Hispanic mothers, and 40 percent of white </w:t>
      </w:r>
      <w:r w:rsidDel="00000000" w:rsidR="00000000" w:rsidRPr="00000000">
        <w:rPr>
          <w:rFonts w:ascii="Times New Roman" w:cs="Times New Roman" w:eastAsia="Times New Roman" w:hAnsi="Times New Roman"/>
          <w:rtl w:val="0"/>
        </w:rPr>
        <w:t xml:space="preserve">mothers</w:t>
      </w:r>
      <w:r w:rsidDel="00000000" w:rsidR="00000000" w:rsidRPr="00000000">
        <w:rPr>
          <w:rFonts w:ascii="Times New Roman" w:cs="Times New Roman" w:eastAsia="Times New Roman" w:hAnsi="Times New Roman"/>
          <w:rtl w:val="0"/>
        </w:rPr>
        <w:t xml:space="preserve"> (Andara et al., 2025). This heightened reliance on Black mothers’ earnings makes access to childcare particularly consequential for their households. Additionally, racial disparities in income can further constrain these families’ ability to navigate an already limited care system. These income inequalities result from concentration of black women in lower paying jobs that maintain less overall employment flexibility (US Bureau of Labor Statistics, 2024). Moreover, childcare access extends beyond whether a family can afford or geographically locate a provider. Factors such as reliability of care and racial safety can also shape whether available care is suitable for a family’s needs. </w:t>
      </w:r>
      <w:r w:rsidDel="00000000" w:rsidR="00000000" w:rsidRPr="00000000">
        <w:rPr>
          <w:rFonts w:ascii="Times New Roman" w:cs="Times New Roman" w:eastAsia="Times New Roman" w:hAnsi="Times New Roman"/>
          <w:rtl w:val="0"/>
        </w:rPr>
        <w:t xml:space="preserve">Examining the added dimensions that shape access and employment outcome beyond simple baseline cost and geographic location is essential to understanding how systematic barriers harm household situations of Black working mothers in the United States. </w:t>
      </w:r>
      <w:r w:rsidDel="00000000" w:rsidR="00000000" w:rsidRPr="00000000">
        <w:rPr>
          <w:rtl w:val="0"/>
        </w:rPr>
      </w:r>
    </w:p>
    <w:p w:rsidR="00000000" w:rsidDel="00000000" w:rsidP="00000000" w:rsidRDefault="00000000" w:rsidRPr="00000000" w14:paraId="00000017">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8">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Methods</w:t>
      </w:r>
    </w:p>
    <w:p w:rsidR="00000000" w:rsidDel="00000000" w:rsidP="00000000" w:rsidRDefault="00000000" w:rsidRPr="00000000" w14:paraId="00000019">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study involves a meta-analysis and pulls data from sources including peer-reviewed studies, government surveys, and qualitative field interviews. </w:t>
      </w:r>
      <w:r w:rsidDel="00000000" w:rsidR="00000000" w:rsidRPr="00000000">
        <w:rPr>
          <w:rFonts w:ascii="Times New Roman" w:cs="Times New Roman" w:eastAsia="Times New Roman" w:hAnsi="Times New Roman"/>
          <w:rtl w:val="0"/>
        </w:rPr>
        <w:t xml:space="preserve">Sources were identified from Google Scholar and the Sociological Abstracts database on ProQuest. Search terms used included the following: childcare access, Black mother employment trends, systemic barriers affecting working Black mothers, income inequality among Black mothers, racial considerations in childcare, and Black mother job concentration. The period of search was April through September of 2026. The studies that were included in this paper were all published in English and the full text was accessed for each one. </w:t>
      </w:r>
      <w:r w:rsidDel="00000000" w:rsidR="00000000" w:rsidRPr="00000000">
        <w:rPr>
          <w:rFonts w:ascii="Times New Roman" w:cs="Times New Roman" w:eastAsia="Times New Roman" w:hAnsi="Times New Roman"/>
          <w:rtl w:val="0"/>
        </w:rPr>
        <w:t xml:space="preserve">The information that was used was all focused on research conducted within the United States and mainly within the last 10 years, barring earlier studies used for historical information and original laws/legislation cited. </w:t>
      </w:r>
    </w:p>
    <w:p w:rsidR="00000000" w:rsidDel="00000000" w:rsidP="00000000" w:rsidRDefault="00000000" w:rsidRPr="00000000" w14:paraId="0000001A">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Qualitative and quantitative studies were examined to capture the major consequences on the lives of Black working mothers that may not be reflected in conventional measures of childcare accessibility. The findings from these sources were then cross referenced across studies to identify recurring patterns in how childcare and employment are experienced by this group. Ultimately, this approach moves past isolated metrics to build a more grounded demonstration of the realities Black working mothers navigate in relation to childcare and employment.</w:t>
      </w:r>
    </w:p>
    <w:p w:rsidR="00000000" w:rsidDel="00000000" w:rsidP="00000000" w:rsidRDefault="00000000" w:rsidRPr="00000000" w14:paraId="0000001B">
      <w:pPr>
        <w:spacing w:after="16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1C">
      <w:pPr>
        <w:spacing w:after="4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Results</w:t>
      </w:r>
    </w:p>
    <w:p w:rsidR="00000000" w:rsidDel="00000000" w:rsidP="00000000" w:rsidRDefault="00000000" w:rsidRPr="00000000" w14:paraId="0000001D">
      <w:pPr>
        <w:spacing w:after="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Systemic Intersecting Dynamics for Black Working Mothers</w:t>
      </w:r>
    </w:p>
    <w:p w:rsidR="00000000" w:rsidDel="00000000" w:rsidP="00000000" w:rsidRDefault="00000000" w:rsidRPr="00000000" w14:paraId="0000001E">
      <w:pPr>
        <w:spacing w:after="0" w:line="48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The evidence collected across the literature indicates that inequalities in childcare accessibility and labor force participation among Black mothers are not independent challenges. Instead, they interact through a combination of economi</w:t>
      </w:r>
      <w:r w:rsidDel="00000000" w:rsidR="00000000" w:rsidRPr="00000000">
        <w:rPr>
          <w:rFonts w:ascii="Times New Roman" w:cs="Times New Roman" w:eastAsia="Times New Roman" w:hAnsi="Times New Roman"/>
          <w:rtl w:val="0"/>
        </w:rPr>
        <w:t xml:space="preserve">c, occupational, and social conditions. Black mothers face a greater financial burden due to </w:t>
      </w:r>
      <w:r w:rsidDel="00000000" w:rsidR="00000000" w:rsidRPr="00000000">
        <w:rPr>
          <w:rFonts w:ascii="Times New Roman" w:cs="Times New Roman" w:eastAsia="Times New Roman" w:hAnsi="Times New Roman"/>
          <w:rtl w:val="0"/>
        </w:rPr>
        <w:t xml:space="preserve">childcare</w:t>
      </w:r>
      <w:r w:rsidDel="00000000" w:rsidR="00000000" w:rsidRPr="00000000">
        <w:rPr>
          <w:rFonts w:ascii="Times New Roman" w:cs="Times New Roman" w:eastAsia="Times New Roman" w:hAnsi="Times New Roman"/>
          <w:rtl w:val="0"/>
        </w:rPr>
        <w:t xml:space="preserve"> (United Way of the National Capital Area, 2023).</w:t>
      </w:r>
      <w:r w:rsidDel="00000000" w:rsidR="00000000" w:rsidRPr="00000000">
        <w:rPr>
          <w:rFonts w:ascii="Times New Roman" w:cs="Times New Roman" w:eastAsia="Times New Roman" w:hAnsi="Times New Roman"/>
          <w:rtl w:val="0"/>
        </w:rPr>
        <w:t xml:space="preserve"> Additionally, they are disproportionately represented in occupations that provide fewer opportunities for job flexibility and frequently experience employment disruptions when childcare becomes </w:t>
      </w:r>
      <w:r w:rsidDel="00000000" w:rsidR="00000000" w:rsidRPr="00000000">
        <w:rPr>
          <w:rFonts w:ascii="Times New Roman" w:cs="Times New Roman" w:eastAsia="Times New Roman" w:hAnsi="Times New Roman"/>
          <w:rtl w:val="0"/>
        </w:rPr>
        <w:t xml:space="preserve">unavailable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(National Women’s Law Center, 2025).</w:t>
      </w:r>
      <w:r w:rsidDel="00000000" w:rsidR="00000000" w:rsidRPr="00000000">
        <w:rPr>
          <w:rtl w:val="0"/>
        </w:rPr>
      </w:r>
    </w:p>
    <w:p w:rsidR="00000000" w:rsidDel="00000000" w:rsidP="00000000" w:rsidRDefault="00000000" w:rsidRPr="00000000" w14:paraId="0000001F">
      <w:pPr>
        <w:spacing w:after="0" w:line="480" w:lineRule="auto"/>
        <w:ind w:left="0" w:firstLine="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Childcare Affordability and Income Inequality</w:t>
      </w:r>
    </w:p>
    <w:p w:rsidR="00000000" w:rsidDel="00000000" w:rsidP="00000000" w:rsidRDefault="00000000" w:rsidRPr="00000000" w14:paraId="00000020">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clearest patterns across the literature is the unequal financial burden of childcare relative to household income. Data from United Way NCA reveals that the median Black household spends approximately 25 percent of its annual income on childcare. In comparison, White households spend approximately 15 percent of their annual income on childcare and Asia households spend around 11 percent. Furthermore, among low-income Black households, the price of childcare can consume nearly half of annual earnings (United Way NCA, 2023).</w:t>
      </w:r>
    </w:p>
    <w:p w:rsidR="00000000" w:rsidDel="00000000" w:rsidP="00000000" w:rsidRDefault="00000000" w:rsidRPr="00000000" w14:paraId="00000021">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differences do not reflect Black families paying higher baseline prices for care. Rather, they reflect disparities in household income that make the same expense represent a substantially larger share of disposable funds. The economic impact of prices depends entirely on the resources available to a household, therefore evaluating childcare affordability solely by examining the price tag is an insufficient measure. For lower-income Black mothers, a childcare expense that might be manageable for a higher-income household represents a critical portion of total earnings, compounding existing income inequality and leaving minimal disposable income to aid with other expenses.</w:t>
      </w:r>
    </w:p>
    <w:p w:rsidR="00000000" w:rsidDel="00000000" w:rsidP="00000000" w:rsidRDefault="00000000" w:rsidRPr="00000000" w14:paraId="00000022">
      <w:pPr>
        <w:spacing w:after="40" w:line="480" w:lineRule="auto"/>
        <w:ind w:firstLine="72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Additionally, standard subsidy frameworks like the Child Care and Development Block Grant set assistance limits based on local market tuition rates. Because market rates are in line with existing regional income disparities, this benchmark frequently understates the real financial burden on lower-income households (WA DCYF, 2022), and leaves Black working mothers with unsustainable out-of-pocket costs, meaning that even the programs that are designed to help with affordability are not equally accessible to the group that needs it the most.</w:t>
      </w:r>
      <w:r w:rsidDel="00000000" w:rsidR="00000000" w:rsidRPr="00000000">
        <w:rPr>
          <w:rtl w:val="0"/>
        </w:rPr>
      </w:r>
    </w:p>
    <w:p w:rsidR="00000000" w:rsidDel="00000000" w:rsidP="00000000" w:rsidRDefault="00000000" w:rsidRPr="00000000" w14:paraId="00000023">
      <w:pPr>
        <w:spacing w:after="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Occupational Inequality and Dependence on Childcare</w:t>
      </w:r>
    </w:p>
    <w:p w:rsidR="00000000" w:rsidDel="00000000" w:rsidP="00000000" w:rsidRDefault="00000000" w:rsidRPr="00000000" w14:paraId="00000024">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relationship between childcare and employment becomes even more pronounced when occupational conditions are taken into account. Research on Black women's employment demonstrates a disproportionate concentration in the healthcare sector, especially in healthcare roles that pay lower wages. Findings by Dill and Duffy (2022) show that Black women constitute 6.9 percent of the overall U.S. labor force but 13.7 percent of the healthcare workforce. More than one in five working Black women hold jobs in healthcare, with</w:t>
      </w:r>
      <w:r w:rsidDel="00000000" w:rsidR="00000000" w:rsidRPr="00000000">
        <w:rPr>
          <w:rFonts w:ascii="Times New Roman" w:cs="Times New Roman" w:eastAsia="Times New Roman" w:hAnsi="Times New Roman"/>
          <w:rtl w:val="0"/>
        </w:rPr>
        <w:t xml:space="preserve"> substantial concentrations in long-term care, licensed practical nursing, and direct care aide </w:t>
      </w:r>
      <w:r w:rsidDel="00000000" w:rsidR="00000000" w:rsidRPr="00000000">
        <w:rPr>
          <w:rFonts w:ascii="Times New Roman" w:cs="Times New Roman" w:eastAsia="Times New Roman" w:hAnsi="Times New Roman"/>
          <w:rtl w:val="0"/>
        </w:rPr>
        <w:t xml:space="preserve">roles</w:t>
      </w:r>
      <w:r w:rsidDel="00000000" w:rsidR="00000000" w:rsidRPr="00000000">
        <w:rPr>
          <w:rFonts w:ascii="Times New Roman" w:cs="Times New Roman" w:eastAsia="Times New Roman" w:hAnsi="Times New Roman"/>
          <w:rtl w:val="0"/>
        </w:rPr>
        <w:t xml:space="preserve"> (Dill &amp; Duffy, 2022). </w:t>
      </w:r>
    </w:p>
    <w:p w:rsidR="00000000" w:rsidDel="00000000" w:rsidP="00000000" w:rsidRDefault="00000000" w:rsidRPr="00000000" w14:paraId="00000025">
      <w:pPr>
        <w:spacing w:after="40" w:line="48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This occupational segregation changes the relationship between childcare availability and job stability. Direct care positions, like healthcare roles, require physical presence and offer very limited scheduling flexibility. Unlike workers who can work remotely or adjust their hours, a mother working a fixed shift has fewer alternatives when care falls through and may be forced to choose between fulfilling employment duties and providing care herself (Kim &amp; Liu, 2021). Therefore, occupational circumstances increase a mother's dependence on reliable childcare and simultaneously limit her ability to adapt when that care becomes unavailable.</w:t>
      </w:r>
      <w:r w:rsidDel="00000000" w:rsidR="00000000" w:rsidRPr="00000000">
        <w:rPr>
          <w:rtl w:val="0"/>
        </w:rPr>
      </w:r>
    </w:p>
    <w:p w:rsidR="00000000" w:rsidDel="00000000" w:rsidP="00000000" w:rsidRDefault="00000000" w:rsidRPr="00000000" w14:paraId="00000026">
      <w:pPr>
        <w:spacing w:after="4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Childcare Disruptions and Workforce Participation</w:t>
      </w:r>
    </w:p>
    <w:p w:rsidR="00000000" w:rsidDel="00000000" w:rsidP="00000000" w:rsidRDefault="00000000" w:rsidRPr="00000000" w14:paraId="00000027">
      <w:pPr>
        <w:spacing w:after="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Evidence regarding childcare-related employment disruptions provides further support for this reciprocal dynamic. The National Women's Law Center's analysis of 2024 Census Household Pulse Survey data found that Black women with children were disproportionately affected by childcare problems. The pinpointed problems included difficulties accessing care and direct employment disruptions like reducing hours, taking unpaid time off, or leaving jobs altogether (National Women’s Law Center, 2025).  </w:t>
      </w:r>
    </w:p>
    <w:p w:rsidR="00000000" w:rsidDel="00000000" w:rsidP="00000000" w:rsidRDefault="00000000" w:rsidRPr="00000000" w14:paraId="00000028">
      <w:pPr>
        <w:spacing w:after="160" w:before="40" w:line="48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These findings establish a direct connection between childcare accessibility and workforce participation. For mothers in rigid occupations, these consequences are particularly difficult to avoid because their jobs cannot easily accommodate sudden shifts in caregiving. Childcare instability consequently leads to lost income and employment vulnerability, while reduced earnings make it even harder to secure consistent care in the future. Rather than a one-directional pathway, the evidence demonstrates a reinforcing cycle where employment conditions shape the ability to obtain childcare, and childcare conditions shape the ability to maintain employment.</w:t>
      </w:r>
      <w:r w:rsidDel="00000000" w:rsidR="00000000" w:rsidRPr="00000000">
        <w:rPr>
          <w:rtl w:val="0"/>
        </w:rPr>
      </w:r>
    </w:p>
    <w:p w:rsidR="00000000" w:rsidDel="00000000" w:rsidP="00000000" w:rsidRDefault="00000000" w:rsidRPr="00000000" w14:paraId="00000029">
      <w:pPr>
        <w:spacing w:after="0" w:before="4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Beyond Affordability: Racial Safety and Cultural Maintenance</w:t>
      </w:r>
    </w:p>
    <w:p w:rsidR="00000000" w:rsidDel="00000000" w:rsidP="00000000" w:rsidRDefault="00000000" w:rsidRPr="00000000" w14:paraId="0000002A">
      <w:pPr>
        <w:spacing w:after="0" w:before="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Beyond economic considerations, childcare and early educational accessibility involve crucial social dimensions. Lynet Uttal's qualitative research (1996) on employed mothers of color introduces the concepts of "racial safety" and "cultural maintenance" to explain how racial and cultural experiences influence decision-making, which is the topic of how parents navigate institutional environments to protect their children from systemic bias.</w:t>
      </w:r>
      <w:r w:rsidDel="00000000" w:rsidR="00000000" w:rsidRPr="00000000">
        <w:rPr>
          <w:rFonts w:ascii="Times New Roman" w:cs="Times New Roman" w:eastAsia="Times New Roman" w:hAnsi="Times New Roman"/>
          <w:rtl w:val="0"/>
        </w:rPr>
        <w:t xml:space="preserve"> Based on interviews with African American, Mexican American, and Guamanian American mothers, Uttal found that parents actively evaluate whether childcare providers can protect their children from discrimination and support their cultural identities.</w:t>
      </w:r>
    </w:p>
    <w:p w:rsidR="00000000" w:rsidDel="00000000" w:rsidP="00000000" w:rsidRDefault="00000000" w:rsidRPr="00000000" w14:paraId="0000002B">
      <w:pPr>
        <w:spacing w:after="40" w:line="48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Uttal's foundational study introduced the concepts of racial safety and cultural maintenance, demonstrating that parents of color may evaluate childcare according to racial and cultural considerations in addition to cost and convenience. However, the research was published in 1996, meaning the relevance of this study may be overshadowed by the length of time since it was conducted. Further research discussed in the next section can be used to build off Uttal’s findings in a more modern context.</w:t>
      </w:r>
      <w:r w:rsidDel="00000000" w:rsidR="00000000" w:rsidRPr="00000000">
        <w:rPr>
          <w:rtl w:val="0"/>
        </w:rPr>
      </w:r>
    </w:p>
    <w:p w:rsidR="00000000" w:rsidDel="00000000" w:rsidP="00000000" w:rsidRDefault="00000000" w:rsidRPr="00000000" w14:paraId="0000002C">
      <w:pPr>
        <w:spacing w:after="4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Modern Childcare Experiences and Institutional Biases</w:t>
      </w:r>
    </w:p>
    <w:p w:rsidR="00000000" w:rsidDel="00000000" w:rsidP="00000000" w:rsidRDefault="00000000" w:rsidRPr="00000000" w14:paraId="0000002D">
      <w:pPr>
        <w:spacing w:after="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social dimension of care extends directly into early childhood and schooling settings, where Black mothers frequently encounter racialized and gendered assumptions about their children. Research highlights how these concerns take shape in early educational environments, finding that Black mothers must actively navigate their children's care transitions while anticipating potential institutional bias. Rather than evaluating programs solely on traditional metrics like convenience or price, mothers assess how early educators will interpret and respond to their children's behavior, emotional development, and learning styles (</w:t>
      </w:r>
      <w:r w:rsidDel="00000000" w:rsidR="00000000" w:rsidRPr="00000000">
        <w:rPr>
          <w:rFonts w:ascii="Times New Roman" w:cs="Times New Roman" w:eastAsia="Times New Roman" w:hAnsi="Times New Roman"/>
          <w:rtl w:val="0"/>
        </w:rPr>
        <w:t xml:space="preserve">Leath et al., 2021).</w:t>
      </w:r>
      <w:r w:rsidDel="00000000" w:rsidR="00000000" w:rsidRPr="00000000">
        <w:rPr>
          <w:rtl w:val="0"/>
        </w:rPr>
      </w:r>
    </w:p>
    <w:p w:rsidR="00000000" w:rsidDel="00000000" w:rsidP="00000000" w:rsidRDefault="00000000" w:rsidRPr="00000000" w14:paraId="0000002E">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structural concerns are particularly pronounced for mothers of Black boys, who often face distinct systemic challenges within early care and schooling environments. Leath et al. (2021) documented that Black mothers of boys expressed heightened apprehension regarding how negative racialized stereotypes shape provider and teacher perceptions. Specifically, these mothers voiced significant concern that age-appropriate behaviors in young Black boys would be misconstrued as unruly, aggressive, or hyperactive, leading to early disciplinary tracking, label-driven stigma, or inappropriate referrals for developmental disabilities.</w:t>
      </w:r>
    </w:p>
    <w:p w:rsidR="00000000" w:rsidDel="00000000" w:rsidP="00000000" w:rsidRDefault="00000000" w:rsidRPr="00000000" w14:paraId="0000002F">
      <w:pPr>
        <w:spacing w:after="40" w:before="0" w:line="480" w:lineRule="auto"/>
        <w:ind w:firstLine="720"/>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rtl w:val="0"/>
        </w:rPr>
        <w:t xml:space="preserve">As a result, Black mothers frequently adopt specialized strategies of involvement that go beyond conventional, school-centered definitions of engagement such as volunteering or attending meetings. Because mainstream care settings do not automatically guarantee racial safety, Black mothers engage in critical advocacy: acting as protective buffers, directly challenging deficit-based stereotypes, and seeking out environments that affirm their children's identities (Leath et al., 2021). Consequently, accessibility cannot be evaluated strictly through price points, operating hours, or geographical proximity. An early care facility that is physically open and financially affordable remains functionally inaccessible if it fails to provide an unbiased, safe, and culturally supportive environment for Black children. This further demonstrates how availability operates on a far different and more limited definition for Black mothers compared to other groups, exacerbating the existing societal barriers they face.</w:t>
      </w:r>
      <w:r w:rsidDel="00000000" w:rsidR="00000000" w:rsidRPr="00000000">
        <w:rPr>
          <w:rtl w:val="0"/>
        </w:rPr>
      </w:r>
    </w:p>
    <w:p w:rsidR="00000000" w:rsidDel="00000000" w:rsidP="00000000" w:rsidRDefault="00000000" w:rsidRPr="00000000" w14:paraId="00000030">
      <w:pPr>
        <w:spacing w:after="40" w:before="0" w:line="48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The Interlocking Relationship between Care Accessibility and Employment Outcomes</w:t>
      </w:r>
    </w:p>
    <w:p w:rsidR="00000000" w:rsidDel="00000000" w:rsidP="00000000" w:rsidRDefault="00000000" w:rsidRPr="00000000" w14:paraId="00000031">
      <w:pPr>
        <w:spacing w:after="4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Synthesizing these findings reveals that childcare and workforce inequality operate through mechanisms that overlap and reinforce one another. Income inequality increases the relative cost of childcare for Black families, occupational segregation concentrates Black women in positions where reliable care is critical, childcare disruptions interfere directly with job retention, and racial considerations further narrow the pool of acceptable providers.</w:t>
      </w:r>
    </w:p>
    <w:p w:rsidR="00000000" w:rsidDel="00000000" w:rsidP="00000000" w:rsidRDefault="00000000" w:rsidRPr="00000000" w14:paraId="00000032">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resulting relationship functions as an interlocking cycle where lower wages and rigid work conditions lead to greater dependence on reliable care. However, care barriers cause employment disruptions, reduced income, and increased difficulty in handling future childcare costs. Childcare accessibility is therefore deeply tied to wages, working conditions, financial stability, and social safety. These results demonstrate that proper childcare is not merely a prerequisite for workforce entry but a factor intertwined with the broader economic inequalities that shape employment opportunities in the first place, the brunt of which Black mothers bear in today’s society, as Figure 1 demonstrates below.</w:t>
      </w:r>
    </w:p>
    <w:p w:rsidR="00000000" w:rsidDel="00000000" w:rsidP="00000000" w:rsidRDefault="00000000" w:rsidRPr="00000000" w14:paraId="00000033">
      <w:pPr>
        <w:spacing w:after="16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pacing w:after="16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Figure 1</w:t>
      </w:r>
    </w:p>
    <w:p w:rsidR="00000000" w:rsidDel="00000000" w:rsidP="00000000" w:rsidRDefault="00000000" w:rsidRPr="00000000" w14:paraId="00000035">
      <w:pPr>
        <w:spacing w:after="160" w:line="48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Exacerbation of Workforce/Care Issues via One Another</w:t>
      </w:r>
      <w:r w:rsidDel="00000000" w:rsidR="00000000" w:rsidRPr="00000000">
        <w:rPr>
          <w:rFonts w:ascii="Times New Roman" w:cs="Times New Roman" w:eastAsia="Times New Roman" w:hAnsi="Times New Roman"/>
          <w:i w:val="1"/>
          <w:iCs w:val="1"/>
        </w:rPr>
        <w:drawing>
          <wp:inline distB="114300" distT="114300" distL="114300" distR="114300">
            <wp:extent cx="5499923" cy="312896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499923" cy="3128963"/>
                    </a:xfrm>
                    <a:prstGeom prst="rect"/>
                    <a:ln/>
                  </pic:spPr>
                </pic:pic>
              </a:graphicData>
            </a:graphic>
          </wp:inline>
        </w:drawing>
      </w:r>
      <w:r w:rsidDel="00000000" w:rsidR="00000000" w:rsidRPr="00000000">
        <w:rPr>
          <w:rtl w:val="0"/>
        </w:rPr>
      </w:r>
    </w:p>
    <w:p w:rsidR="00000000" w:rsidDel="00000000" w:rsidP="00000000" w:rsidRDefault="00000000" w:rsidRPr="00000000" w14:paraId="00000036">
      <w:pPr>
        <w:spacing w:after="160" w:line="48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7">
      <w:pPr>
        <w:spacing w:after="16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Note: Author created illustration depicting how the issues of employment cause care disruptions, and the negative impacts multiply over time</w:t>
      </w:r>
    </w:p>
    <w:p w:rsidR="00000000" w:rsidDel="00000000" w:rsidP="00000000" w:rsidRDefault="00000000" w:rsidRPr="00000000" w14:paraId="00000038">
      <w:pPr>
        <w:spacing w:after="16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39">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Accessibility Barriers the Vulnerability Cycle for Black Mothers</w:t>
      </w:r>
    </w:p>
    <w:p w:rsidR="00000000" w:rsidDel="00000000" w:rsidP="00000000" w:rsidRDefault="00000000" w:rsidRPr="00000000" w14:paraId="0000003A">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previous literature has examined childcare affordability, labor market participation, and racial socialization as separate academic inquiries, this review highlights two main understudied aspects of this issue.  </w:t>
      </w:r>
    </w:p>
    <w:p w:rsidR="00000000" w:rsidDel="00000000" w:rsidP="00000000" w:rsidRDefault="00000000" w:rsidRPr="00000000" w14:paraId="0000003B">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is a reevaluation of accessibility.</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This meta-analysis demonstrates that traditional policy metrics overlook critical qualitative barriers. Measures like community childcare slot availability and average price points do not take into consideration racial safety, cultural alignment, and institutional biases that exist. Therefore, solely depending on them does not reveal the full picture.</w:t>
      </w:r>
    </w:p>
    <w:p w:rsidR="00000000" w:rsidDel="00000000" w:rsidP="00000000" w:rsidRDefault="00000000" w:rsidRPr="00000000" w14:paraId="0000003C">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Additionally, this study does the job of mapping the interlocking vulnerability cycle that Black mothers face. It connects macro-level labor dynamics like healthcare sector segregation directly to micro-level household stability. This further shows how rigid work schedules transform minor care interruptions into severe long-term issues of economic stability.</w:t>
      </w:r>
    </w:p>
    <w:p w:rsidR="00000000" w:rsidDel="00000000" w:rsidP="00000000" w:rsidRDefault="00000000" w:rsidRPr="00000000" w14:paraId="0000003D">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Ultimately, childcare accessibility for Black working mothers goes far beyond a simple prerequisite for entering the labor force. On the contrary, it is a central point where historical wage disparities, occupational segregation, and institutional racism meet. When childcare systems fail to address these realities, they reinforce long-term economic insecurity for Black mothers, meaning that achieving true accessibility requires addressing these broader structural barriers.</w:t>
      </w:r>
    </w:p>
    <w:p w:rsidR="00000000" w:rsidDel="00000000" w:rsidP="00000000" w:rsidRDefault="00000000" w:rsidRPr="00000000" w14:paraId="0000003E">
      <w:pPr>
        <w:spacing w:after="16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F">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Policy Recommendations</w:t>
      </w:r>
    </w:p>
    <w:p w:rsidR="00000000" w:rsidDel="00000000" w:rsidP="00000000" w:rsidRDefault="00000000" w:rsidRPr="00000000" w14:paraId="00000040">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address the structural challenges identified in the research, targeted policy solutions must look beyond generic subsidies and directly focus on the systemic drivers of care instability. Effective reform requires reforming financial aid structures, updating workplace labor protections, and expanding how public agencies define quality care.</w:t>
      </w:r>
    </w:p>
    <w:p w:rsidR="00000000" w:rsidDel="00000000" w:rsidP="00000000" w:rsidRDefault="00000000" w:rsidRPr="00000000" w14:paraId="00000041">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Based on the intensified need for Black mothers to have financial support in order to afford childcare and existing state subsidy programs not meeting those needs, state human services agencies should recalibrate how financial help for childcare is calculated so that a family's required payment is based strictly on how much money they make rather than on the market price of the daycare (Lynch, 2024). This would cap total out-of-pocket childcare expenditures at </w:t>
      </w:r>
      <w:r w:rsidDel="00000000" w:rsidR="00000000" w:rsidRPr="00000000">
        <w:rPr>
          <w:rFonts w:ascii="Times New Roman" w:cs="Times New Roman" w:eastAsia="Times New Roman" w:hAnsi="Times New Roman"/>
          <w:rtl w:val="0"/>
        </w:rPr>
        <w:t xml:space="preserve">seven percent of gross earnings</w:t>
      </w:r>
      <w:r w:rsidDel="00000000" w:rsidR="00000000" w:rsidRPr="00000000">
        <w:rPr>
          <w:rFonts w:ascii="Times New Roman" w:cs="Times New Roman" w:eastAsia="Times New Roman" w:hAnsi="Times New Roman"/>
          <w:rtl w:val="0"/>
        </w:rPr>
        <w:t xml:space="preserve"> in line with the U.S. Department of Health and Human Services benchmark of affordable care discussed earlier. Additionally, governments should alter how the</w:t>
      </w:r>
      <w:r w:rsidDel="00000000" w:rsidR="00000000" w:rsidRPr="00000000">
        <w:rPr>
          <w:rFonts w:ascii="Times New Roman" w:cs="Times New Roman" w:eastAsia="Times New Roman" w:hAnsi="Times New Roman"/>
          <w:rtl w:val="0"/>
        </w:rPr>
        <w:t xml:space="preserve"> Child and Dependent Care Tax Credit is distributed.</w:t>
      </w:r>
      <w:r w:rsidDel="00000000" w:rsidR="00000000" w:rsidRPr="00000000">
        <w:rPr>
          <w:rFonts w:ascii="Times New Roman" w:cs="Times New Roman" w:eastAsia="Times New Roman" w:hAnsi="Times New Roman"/>
          <w:rtl w:val="0"/>
        </w:rPr>
        <w:t xml:space="preserve"> Instead of handing families one large tax refund after taxes are filed, tax agencies should send these payments directly to parents as monthly deposits. A steady monthly income helps families cover ongoing care costs, preventing sudden cash shortages that force parents to forfeit childcare or miss work. State legislatures can implement this by adjusting subsidy schedules and linking state tax systems directly with public assistance </w:t>
      </w:r>
      <w:r w:rsidDel="00000000" w:rsidR="00000000" w:rsidRPr="00000000">
        <w:rPr>
          <w:rFonts w:ascii="Times New Roman" w:cs="Times New Roman" w:eastAsia="Times New Roman" w:hAnsi="Times New Roman"/>
          <w:rtl w:val="0"/>
        </w:rPr>
        <w:t xml:space="preserve">portals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42">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concentration of Black working mothers in health services and direct care roles exposes them to severe job risk due to non-standard hours and irregular shift assignments. When last-minute schedule changes conflict with traditional daytime care centers, missing a shift can lead to formal discipline or termination. </w:t>
      </w:r>
      <w:r w:rsidDel="00000000" w:rsidR="00000000" w:rsidRPr="00000000">
        <w:rPr>
          <w:rFonts w:ascii="Times New Roman" w:cs="Times New Roman" w:eastAsia="Times New Roman" w:hAnsi="Times New Roman"/>
          <w:rtl w:val="0"/>
        </w:rPr>
        <w:t xml:space="preserve">Municipalities and state legislatures can address this by passing fair workweek laws that require employers in high-volatility industries to provide shift notifications two weeks in advance. </w:t>
      </w:r>
      <w:r w:rsidDel="00000000" w:rsidR="00000000" w:rsidRPr="00000000">
        <w:rPr>
          <w:rFonts w:ascii="Times New Roman" w:cs="Times New Roman" w:eastAsia="Times New Roman" w:hAnsi="Times New Roman"/>
          <w:rtl w:val="0"/>
        </w:rPr>
        <w:t xml:space="preserve">Seattle provides a relevant case study since its 2017 Secure Scheduling Ordinance required covered employers to provide workers with two weeks' advance notice of schedules. This resulted in increased schedule predictability and fewer last-minute schedule changes (Harknett et al., 2020). Alongside these labor protections, state economic development funds should </w:t>
      </w:r>
      <w:r w:rsidDel="00000000" w:rsidR="00000000" w:rsidRPr="00000000">
        <w:rPr>
          <w:rFonts w:ascii="Times New Roman" w:cs="Times New Roman" w:eastAsia="Times New Roman" w:hAnsi="Times New Roman"/>
          <w:rtl w:val="0"/>
        </w:rPr>
        <w:t xml:space="preserve">offer targeted grants</w:t>
      </w:r>
      <w:r w:rsidDel="00000000" w:rsidR="00000000" w:rsidRPr="00000000">
        <w:rPr>
          <w:rFonts w:ascii="Times New Roman" w:cs="Times New Roman" w:eastAsia="Times New Roman" w:hAnsi="Times New Roman"/>
          <w:rtl w:val="0"/>
        </w:rPr>
        <w:t xml:space="preserve"> and operational subsidies to accredited childcare centers willing to operate during extended hours. These extended hours can include overnight, weekends, and during holidays. Enforcing these scheduling rules through state labor departments while funding off-hour care removes the penalizing effect of having a non-traditional work schedule. Washington State already uses a similar approach through its Non-Standard Hours Bonus. This initiative provides extra funding to childcare providers that offer care during evenings, weekends, early mornings, and state holidays. In a 2022 report, the state found that 30 percent of surveyed parents needed care during nonstandard hours and projected that increasing provider participation by 23 percent could raise the use of nonstandard-hour care by 6.9 percent (Washington State Department of Children, Youth, and Families, 2022). </w:t>
      </w:r>
    </w:p>
    <w:p w:rsidR="00000000" w:rsidDel="00000000" w:rsidP="00000000" w:rsidRDefault="00000000" w:rsidRPr="00000000" w14:paraId="00000043">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Current evaluation systems like state Quality Rating and Improvement Systems focus heavily on physical facilities and caregiver to child ratios (Hutchins et al., 2023). While these metrics address basic safety, they ignore the larger social environment, leaving Black children vulnerable to early racialized discipline and existing cultural biases. State education agencies should broaden their rating criteria to evaluate centers on institutional anti-bias policies and staff demographic stability. Additionally, high turnover among childcare workers, who are disproportionately themselves women of color earning low wages, directly disrupts the development of young children. State policy should therefore create dedicated public funds to supplement wages in order to raise base compensation across the early childhood workforce. Updating accreditation standards to include these social factors and instituting public funding for staff retention ensures that childcare environments remain both culturally safe and operationally stable.</w:t>
      </w:r>
    </w:p>
    <w:p w:rsidR="00000000" w:rsidDel="00000000" w:rsidP="00000000" w:rsidRDefault="00000000" w:rsidRPr="00000000" w14:paraId="00000044">
      <w:pPr>
        <w:spacing w:after="16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5">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Limitations</w:t>
      </w:r>
    </w:p>
    <w:p w:rsidR="00000000" w:rsidDel="00000000" w:rsidP="00000000" w:rsidRDefault="00000000" w:rsidRPr="00000000" w14:paraId="00000046">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While a meta-analytical approach offers a comprehensive method of examining this interlocking relationship, there are some constraints that determine the scope of the findings in this paper. Given that the information in this study is an analysis that combines pre-existing research, future studies should be explored in order to determine how these findings apply to the direct experiences of Black working mothers. Future research could use field interviews and focus groups to hear directly from mothers about their experiences with childcare and employment. Due to time constraints, this review was unable to explore that aspect. However, further studies like these could provide a deeper understanding of the specific challenges mothers face and help expand on the patterns identified in this paper through direct interviews.</w:t>
      </w:r>
    </w:p>
    <w:p w:rsidR="00000000" w:rsidDel="00000000" w:rsidP="00000000" w:rsidRDefault="00000000" w:rsidRPr="00000000" w14:paraId="00000047">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Additionally, this review explores childcare policy on a national level. However, childcare rules often vary from state to state. Differences in the practices of Child Care and Development Fund allocation, local market rate calculations related to childcare tuition, and specific state-wide labor regulations mean that financial burdens and access barriers do not present identically across all geographic regions.</w:t>
      </w:r>
    </w:p>
    <w:p w:rsidR="00000000" w:rsidDel="00000000" w:rsidP="00000000" w:rsidRDefault="00000000" w:rsidRPr="00000000" w14:paraId="00000048">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Adequate coverage regarding data across different labor sectors presents another constraint. Existing research heavily prioritizes industries that are more formal and based on shifts like healthcare and service work. This leaves informal employment and roles with non-traditional schedules underrepresented in many datasets.</w:t>
      </w:r>
    </w:p>
    <w:p w:rsidR="00000000" w:rsidDel="00000000" w:rsidP="00000000" w:rsidRDefault="00000000" w:rsidRPr="00000000" w14:paraId="00000049">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Measuring qualitative experiences introduces similar challenges. Concepts like cultural safety and institutional bias are context-dependent. They rely heavily on self-reported measures, meaning that the extent of the bias that exists is difficult to measure in a standard manner. In recognition of these boundaries, a future empirical study could be conducted to determine both the level of bias that exists, as well as how it has shifted over time with changing social norms and expectations.   </w:t>
      </w:r>
    </w:p>
    <w:p w:rsidR="00000000" w:rsidDel="00000000" w:rsidP="00000000" w:rsidRDefault="00000000" w:rsidRPr="00000000" w14:paraId="0000004A">
      <w:pPr>
        <w:spacing w:after="160"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B">
      <w:pPr>
        <w:spacing w:after="0" w:line="48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Conclusion</w:t>
      </w:r>
    </w:p>
    <w:p w:rsidR="00000000" w:rsidDel="00000000" w:rsidP="00000000" w:rsidRDefault="00000000" w:rsidRPr="00000000" w14:paraId="0000004C">
      <w:pPr>
        <w:spacing w:after="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accessibility of childcare is not simply a question of whether or not a provider exists or if a family can afford its prices. For Black working mothers, access depends not only on whether care exists, but on how well it fits within the broader realities of work and family life. This review demonstrates that the factors of childcare accessibility and employment outcomes cannot be understood independently. Income inequality increases the relative burden of childcare, occupational conditions can limit mothers’ ability to adapt when care becomes unavailable, and childcare disruptions can in turn threaten employment and household financial stability. At the same time, concerns about racial safety demonstrate that a childcare arrangement can be technically available while remaining functionally inaccessible. Together, these </w:t>
      </w:r>
      <w:r w:rsidDel="00000000" w:rsidR="00000000" w:rsidRPr="00000000">
        <w:rPr>
          <w:rFonts w:ascii="Times New Roman" w:cs="Times New Roman" w:eastAsia="Times New Roman" w:hAnsi="Times New Roman"/>
          <w:rtl w:val="0"/>
        </w:rPr>
        <w:t xml:space="preserve">findings </w:t>
      </w:r>
      <w:r w:rsidDel="00000000" w:rsidR="00000000" w:rsidRPr="00000000">
        <w:rPr>
          <w:rFonts w:ascii="Times New Roman" w:cs="Times New Roman" w:eastAsia="Times New Roman" w:hAnsi="Times New Roman"/>
          <w:rtl w:val="0"/>
        </w:rPr>
        <w:t xml:space="preserve">synthesize evidence that supports the following conclusion: childcare accessibility and employment outcomes operate as interconnected systems that can reinforce existing inequalities.</w:t>
      </w:r>
    </w:p>
    <w:p w:rsidR="00000000" w:rsidDel="00000000" w:rsidP="00000000" w:rsidRDefault="00000000" w:rsidRPr="00000000" w14:paraId="0000004D">
      <w:pPr>
        <w:spacing w:after="160" w:line="48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Understanding this relationship also changes how childcare policy should be evaluated. Improving access requires more than increasing the number of childcare slots or reducing the listed cost of care. It requires considering whether families can realistically sustain that care alongside the conditions of their employment and whether care environments meet the cultural needs of the children they serve. Policies that respond to the broader structural barriers shaping childcare and employment can therefore address multiple points within the same cycle of disadvantage. Ultimately, childcare should not be treated solely as a private household responsibility or as a prerequisite for entering the workforce. It is an essential component of economic stability whose accessibility is shaped by the same structural inequalities that influence employment. Recognizing this interdependence provides a more complete foundation for understanding and addressing the challenges faced by Black working mothers.</w:t>
      </w:r>
    </w:p>
    <w:p w:rsidR="00000000" w:rsidDel="00000000" w:rsidP="00000000" w:rsidRDefault="00000000" w:rsidRPr="00000000" w14:paraId="0000004E">
      <w:pPr>
        <w:spacing w:after="160" w:line="480" w:lineRule="auto"/>
        <w:rPr/>
      </w:pPr>
      <w:r w:rsidDel="00000000" w:rsidR="00000000" w:rsidRPr="00000000">
        <w:rPr>
          <w:rtl w:val="0"/>
        </w:rPr>
        <w:t xml:space="preserve"> </w:t>
      </w:r>
    </w:p>
    <w:p w:rsidR="00000000" w:rsidDel="00000000" w:rsidP="00000000" w:rsidRDefault="00000000" w:rsidRPr="00000000" w14:paraId="0000004F">
      <w:pPr>
        <w:spacing w:after="160" w:line="480" w:lineRule="auto"/>
        <w:rPr/>
      </w:pPr>
      <w:r w:rsidDel="00000000" w:rsidR="00000000" w:rsidRPr="00000000">
        <w:rPr>
          <w:rtl w:val="0"/>
        </w:rPr>
        <w:t xml:space="preserve"> </w:t>
      </w:r>
    </w:p>
    <w:p w:rsidR="00000000" w:rsidDel="00000000" w:rsidP="00000000" w:rsidRDefault="00000000" w:rsidRPr="00000000" w14:paraId="00000050">
      <w:pPr>
        <w:spacing w:after="160" w:lineRule="auto"/>
        <w:rPr/>
      </w:pPr>
      <w:r w:rsidDel="00000000" w:rsidR="00000000" w:rsidRPr="00000000">
        <w:rPr>
          <w:rtl w:val="0"/>
        </w:rPr>
        <w:t xml:space="preserve"> </w:t>
      </w:r>
    </w:p>
    <w:p w:rsidR="00000000" w:rsidDel="00000000" w:rsidP="00000000" w:rsidRDefault="00000000" w:rsidRPr="00000000" w14:paraId="00000051">
      <w:pPr>
        <w:spacing w:after="160" w:lineRule="auto"/>
        <w:rPr/>
      </w:pPr>
      <w:r w:rsidDel="00000000" w:rsidR="00000000" w:rsidRPr="00000000">
        <w:rPr>
          <w:rtl w:val="0"/>
        </w:rPr>
        <w:t xml:space="preserve"> </w:t>
      </w:r>
    </w:p>
    <w:p w:rsidR="00000000" w:rsidDel="00000000" w:rsidP="00000000" w:rsidRDefault="00000000" w:rsidRPr="00000000" w14:paraId="00000052">
      <w:pPr>
        <w:spacing w:after="160" w:lineRule="auto"/>
        <w:rPr/>
      </w:pPr>
      <w:r w:rsidDel="00000000" w:rsidR="00000000" w:rsidRPr="00000000">
        <w:rPr>
          <w:rtl w:val="0"/>
        </w:rPr>
        <w:t xml:space="preserve"> </w:t>
      </w:r>
    </w:p>
    <w:p w:rsidR="00000000" w:rsidDel="00000000" w:rsidP="00000000" w:rsidRDefault="00000000" w:rsidRPr="00000000" w14:paraId="00000053">
      <w:pPr>
        <w:spacing w:after="160" w:lineRule="auto"/>
        <w:rPr/>
      </w:pPr>
      <w:r w:rsidDel="00000000" w:rsidR="00000000" w:rsidRPr="00000000">
        <w:rPr>
          <w:rtl w:val="0"/>
        </w:rPr>
        <w:t xml:space="preserve"> </w:t>
      </w:r>
    </w:p>
    <w:p w:rsidR="00000000" w:rsidDel="00000000" w:rsidP="00000000" w:rsidRDefault="00000000" w:rsidRPr="00000000" w14:paraId="00000054">
      <w:pPr>
        <w:spacing w:after="160" w:lineRule="auto"/>
        <w:rPr/>
      </w:pPr>
      <w:r w:rsidDel="00000000" w:rsidR="00000000" w:rsidRPr="00000000">
        <w:rPr>
          <w:rtl w:val="0"/>
        </w:rPr>
        <w:t xml:space="preserve"> </w:t>
      </w:r>
    </w:p>
    <w:p w:rsidR="00000000" w:rsidDel="00000000" w:rsidP="00000000" w:rsidRDefault="00000000" w:rsidRPr="00000000" w14:paraId="00000055">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7">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C">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E">
      <w:pPr>
        <w:spacing w:after="160" w:line="48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spacing w:after="160" w:line="48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References</w:t>
      </w:r>
      <w:r w:rsidDel="00000000" w:rsidR="00000000" w:rsidRPr="00000000">
        <w:rPr>
          <w:rtl w:val="0"/>
        </w:rPr>
      </w:r>
    </w:p>
    <w:p w:rsidR="00000000" w:rsidDel="00000000" w:rsidP="00000000" w:rsidRDefault="00000000" w:rsidRPr="00000000" w14:paraId="00000060">
      <w:pPr>
        <w:spacing w:after="160" w:line="4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Andara, K., Estep, S., &amp; Salas-Betsch, I. (2025, May 9). </w:t>
      </w:r>
      <w:r w:rsidDel="00000000" w:rsidR="00000000" w:rsidRPr="00000000">
        <w:rPr>
          <w:rFonts w:ascii="Times New Roman" w:cs="Times New Roman" w:eastAsia="Times New Roman" w:hAnsi="Times New Roman"/>
          <w:i w:val="1"/>
          <w:iCs w:val="1"/>
          <w:rtl w:val="0"/>
        </w:rPr>
        <w:t xml:space="preserve">Breadwinning women are a lifeline for their</w:t>
        <w:tab/>
        <w:tab/>
        <w:t xml:space="preserve">families and the economy</w:t>
      </w:r>
      <w:r w:rsidDel="00000000" w:rsidR="00000000" w:rsidRPr="00000000">
        <w:rPr>
          <w:rFonts w:ascii="Times New Roman" w:cs="Times New Roman" w:eastAsia="Times New Roman" w:hAnsi="Times New Roman"/>
          <w:rtl w:val="0"/>
        </w:rPr>
        <w:t xml:space="preserve">. Center for American Progress.</w:t>
      </w:r>
    </w:p>
    <w:p w:rsidR="00000000" w:rsidDel="00000000" w:rsidP="00000000" w:rsidRDefault="00000000" w:rsidRPr="00000000" w14:paraId="00000061">
      <w:pPr>
        <w:spacing w:after="160" w:line="4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Capito, J., &amp; Workman, S. (2022). </w:t>
      </w:r>
      <w:r w:rsidDel="00000000" w:rsidR="00000000" w:rsidRPr="00000000">
        <w:rPr>
          <w:rFonts w:ascii="Times New Roman" w:cs="Times New Roman" w:eastAsia="Times New Roman" w:hAnsi="Times New Roman"/>
          <w:i w:val="1"/>
          <w:iCs w:val="1"/>
          <w:rtl w:val="0"/>
        </w:rPr>
        <w:t xml:space="preserve">Understanding the true cost of child care in Washington State:</w:t>
        <w:tab/>
        <w:tab/>
        <w:tab/>
        <w:t xml:space="preserve">Building a cost model to inform policy change</w:t>
      </w:r>
      <w:r w:rsidDel="00000000" w:rsidR="00000000" w:rsidRPr="00000000">
        <w:rPr>
          <w:rFonts w:ascii="Times New Roman" w:cs="Times New Roman" w:eastAsia="Times New Roman" w:hAnsi="Times New Roman"/>
          <w:rtl w:val="0"/>
        </w:rPr>
        <w:t xml:space="preserve">. Prenatal to Five Fiscal Strategies.</w:t>
      </w:r>
    </w:p>
    <w:p w:rsidR="00000000" w:rsidDel="00000000" w:rsidP="00000000" w:rsidRDefault="00000000" w:rsidRPr="00000000" w14:paraId="00000062">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Child Care Aware of America. (2025). </w:t>
      </w:r>
      <w:r w:rsidDel="00000000" w:rsidR="00000000" w:rsidRPr="00000000">
        <w:rPr>
          <w:rFonts w:ascii="Times New Roman" w:cs="Times New Roman" w:eastAsia="Times New Roman" w:hAnsi="Times New Roman"/>
          <w:i w:val="1"/>
          <w:iCs w:val="1"/>
          <w:rtl w:val="0"/>
        </w:rPr>
        <w:t xml:space="preserve">Child care in America: 2024 price &amp; supply</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63">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Dill, J., &amp; Duffy, M. (2022). Structural racism and Black women’s employment in the U.S. health care sector. </w:t>
      </w:r>
      <w:r w:rsidDel="00000000" w:rsidR="00000000" w:rsidRPr="00000000">
        <w:rPr>
          <w:rFonts w:ascii="Times New Roman" w:cs="Times New Roman" w:eastAsia="Times New Roman" w:hAnsi="Times New Roman"/>
          <w:i w:val="1"/>
          <w:iCs w:val="1"/>
          <w:rtl w:val="0"/>
        </w:rPr>
        <w:t xml:space="preserve">Health Affairs, 41</w:t>
      </w:r>
      <w:r w:rsidDel="00000000" w:rsidR="00000000" w:rsidRPr="00000000">
        <w:rPr>
          <w:rFonts w:ascii="Times New Roman" w:cs="Times New Roman" w:eastAsia="Times New Roman" w:hAnsi="Times New Roman"/>
          <w:rtl w:val="0"/>
        </w:rPr>
        <w:t xml:space="preserve">(2), 265–272.</w:t>
      </w:r>
      <w:hyperlink r:id="rId7">
        <w:r w:rsidDel="00000000" w:rsidR="00000000" w:rsidRPr="00000000">
          <w:rPr>
            <w:rFonts w:ascii="Times New Roman" w:cs="Times New Roman" w:eastAsia="Times New Roman" w:hAnsi="Times New Roman"/>
            <w:rtl w:val="0"/>
          </w:rPr>
          <w:t xml:space="preserve"> </w:t>
        </w:r>
      </w:hyperlink>
      <w:hyperlink r:id="rId8">
        <w:r w:rsidDel="00000000" w:rsidR="00000000" w:rsidRPr="00000000">
          <w:rPr>
            <w:rFonts w:ascii="Times New Roman" w:cs="Times New Roman" w:eastAsia="Times New Roman" w:hAnsi="Times New Roman"/>
            <w:color w:val="1155cc"/>
            <w:u w:val="single"/>
            <w:rtl w:val="0"/>
          </w:rPr>
          <w:t xml:space="preserve">https://doi.org/10.1377/hlthaff.2021.01400</w:t>
        </w:r>
      </w:hyperlink>
      <w:r w:rsidDel="00000000" w:rsidR="00000000" w:rsidRPr="00000000">
        <w:rPr>
          <w:rtl w:val="0"/>
        </w:rPr>
      </w:r>
    </w:p>
    <w:p w:rsidR="00000000" w:rsidDel="00000000" w:rsidP="00000000" w:rsidRDefault="00000000" w:rsidRPr="00000000" w14:paraId="00000064">
      <w:pPr>
        <w:spacing w:after="160" w:line="48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Gibbs, H., &amp; Peeks, C. (2026, April 29). </w:t>
      </w:r>
      <w:r w:rsidDel="00000000" w:rsidR="00000000" w:rsidRPr="00000000">
        <w:rPr>
          <w:rFonts w:ascii="Times New Roman" w:cs="Times New Roman" w:eastAsia="Times New Roman" w:hAnsi="Times New Roman"/>
          <w:i w:val="1"/>
          <w:iCs w:val="1"/>
          <w:rtl w:val="0"/>
        </w:rPr>
        <w:t xml:space="preserve">America’s licensed child care deserts</w:t>
      </w:r>
      <w:r w:rsidDel="00000000" w:rsidR="00000000" w:rsidRPr="00000000">
        <w:rPr>
          <w:rFonts w:ascii="Times New Roman" w:cs="Times New Roman" w:eastAsia="Times New Roman" w:hAnsi="Times New Roman"/>
          <w:rtl w:val="0"/>
        </w:rPr>
        <w:t xml:space="preserve">. Center for American </w:t>
        <w:tab/>
        <w:tab/>
        <w:t xml:space="preserve">Progress.</w:t>
      </w:r>
    </w:p>
    <w:p w:rsidR="00000000" w:rsidDel="00000000" w:rsidP="00000000" w:rsidRDefault="00000000" w:rsidRPr="00000000" w14:paraId="00000065">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Harknett, K., Schneider, D., &amp; Irwin, V. (2021). </w:t>
      </w:r>
      <w:r w:rsidDel="00000000" w:rsidR="00000000" w:rsidRPr="00000000">
        <w:rPr>
          <w:rFonts w:ascii="Times New Roman" w:cs="Times New Roman" w:eastAsia="Times New Roman" w:hAnsi="Times New Roman"/>
          <w:i w:val="1"/>
          <w:iCs w:val="1"/>
          <w:rtl w:val="0"/>
        </w:rPr>
        <w:t xml:space="preserve">Improving health and economic security by reducing work schedule uncertainty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rtl w:val="0"/>
        </w:rPr>
        <w:t xml:space="preserve">Proceedings of the National Academy of Sciences, 118</w:t>
      </w:r>
      <w:r w:rsidDel="00000000" w:rsidR="00000000" w:rsidRPr="00000000">
        <w:rPr>
          <w:rFonts w:ascii="Times New Roman" w:cs="Times New Roman" w:eastAsia="Times New Roman" w:hAnsi="Times New Roman"/>
          <w:rtl w:val="0"/>
        </w:rPr>
        <w:t xml:space="preserve">(42), e2107828118. </w:t>
      </w:r>
      <w:hyperlink r:id="rId9">
        <w:r w:rsidDel="00000000" w:rsidR="00000000" w:rsidRPr="00000000">
          <w:rPr>
            <w:rFonts w:ascii="Times New Roman" w:cs="Times New Roman" w:eastAsia="Times New Roman" w:hAnsi="Times New Roman"/>
            <w:color w:val="1155cc"/>
            <w:u w:val="single"/>
            <w:rtl w:val="0"/>
          </w:rPr>
          <w:t xml:space="preserve">https://doi.org/10.1073/pnas.2107828118</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6">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Hatfield, M. (2026). Modern cultures of child care. In A. Capern (Ed.), </w:t>
      </w:r>
      <w:r w:rsidDel="00000000" w:rsidR="00000000" w:rsidRPr="00000000">
        <w:rPr>
          <w:rFonts w:ascii="Times New Roman" w:cs="Times New Roman" w:eastAsia="Times New Roman" w:hAnsi="Times New Roman"/>
          <w:i w:val="1"/>
          <w:iCs w:val="1"/>
          <w:rtl w:val="0"/>
        </w:rPr>
        <w:t xml:space="preserve">Oxford Research Encyclopedia of Gender and Women’s History</w:t>
      </w:r>
      <w:r w:rsidDel="00000000" w:rsidR="00000000" w:rsidRPr="00000000">
        <w:rPr>
          <w:rFonts w:ascii="Times New Roman" w:cs="Times New Roman" w:eastAsia="Times New Roman" w:hAnsi="Times New Roman"/>
          <w:rtl w:val="0"/>
        </w:rPr>
        <w:t xml:space="preserve">. Oxford University Press. </w:t>
      </w:r>
      <w:hyperlink r:id="rId10">
        <w:r w:rsidDel="00000000" w:rsidR="00000000" w:rsidRPr="00000000">
          <w:rPr>
            <w:rFonts w:ascii="Times New Roman" w:cs="Times New Roman" w:eastAsia="Times New Roman" w:hAnsi="Times New Roman"/>
            <w:color w:val="1155cc"/>
            <w:u w:val="single"/>
            <w:rtl w:val="0"/>
          </w:rPr>
          <w:t xml:space="preserve">https://doi.org/10.1093/9780197852675.003.0063</w:t>
        </w:r>
      </w:hyperlink>
      <w:r w:rsidDel="00000000" w:rsidR="00000000" w:rsidRPr="00000000">
        <w:rPr>
          <w:rtl w:val="0"/>
        </w:rPr>
      </w:r>
    </w:p>
    <w:p w:rsidR="00000000" w:rsidDel="00000000" w:rsidP="00000000" w:rsidRDefault="00000000" w:rsidRPr="00000000" w14:paraId="00000067">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Hutchins, H., Abercrombie, J., &amp; Lipton, C. (2023). Promotion of early childhood development and mental health in quality rating and improvement systems for early care and education: A review of state quality indicators. </w:t>
      </w:r>
      <w:r w:rsidDel="00000000" w:rsidR="00000000" w:rsidRPr="00000000">
        <w:rPr>
          <w:rFonts w:ascii="Times New Roman" w:cs="Times New Roman" w:eastAsia="Times New Roman" w:hAnsi="Times New Roman"/>
          <w:i w:val="1"/>
          <w:iCs w:val="1"/>
          <w:rtl w:val="0"/>
        </w:rPr>
        <w:t xml:space="preserve">Early Childhood Research Quarterly, 64</w:t>
      </w:r>
      <w:r w:rsidDel="00000000" w:rsidR="00000000" w:rsidRPr="00000000">
        <w:rPr>
          <w:rFonts w:ascii="Times New Roman" w:cs="Times New Roman" w:eastAsia="Times New Roman" w:hAnsi="Times New Roman"/>
          <w:rtl w:val="0"/>
        </w:rPr>
        <w:t xml:space="preserve">, 229–241.</w:t>
      </w:r>
      <w:hyperlink r:id="rId11">
        <w:r w:rsidDel="00000000" w:rsidR="00000000" w:rsidRPr="00000000">
          <w:rPr>
            <w:rFonts w:ascii="Times New Roman" w:cs="Times New Roman" w:eastAsia="Times New Roman" w:hAnsi="Times New Roman"/>
            <w:rtl w:val="0"/>
          </w:rPr>
          <w:t xml:space="preserve"> </w:t>
        </w:r>
      </w:hyperlink>
      <w:hyperlink r:id="rId12">
        <w:r w:rsidDel="00000000" w:rsidR="00000000" w:rsidRPr="00000000">
          <w:rPr>
            <w:rFonts w:ascii="Times New Roman" w:cs="Times New Roman" w:eastAsia="Times New Roman" w:hAnsi="Times New Roman"/>
            <w:color w:val="1155cc"/>
            <w:u w:val="single"/>
            <w:rtl w:val="0"/>
          </w:rPr>
          <w:t xml:space="preserve">https://doi.org/10.1016/j.ecresq.2023.03.006</w:t>
        </w:r>
      </w:hyperlink>
      <w:r w:rsidDel="00000000" w:rsidR="00000000" w:rsidRPr="00000000">
        <w:rPr>
          <w:rtl w:val="0"/>
        </w:rPr>
      </w:r>
    </w:p>
    <w:p w:rsidR="00000000" w:rsidDel="00000000" w:rsidP="00000000" w:rsidRDefault="00000000" w:rsidRPr="00000000" w14:paraId="00000068">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Internal Revenue Service. (2025). </w:t>
      </w:r>
      <w:r w:rsidDel="00000000" w:rsidR="00000000" w:rsidRPr="00000000">
        <w:rPr>
          <w:rFonts w:ascii="Times New Roman" w:cs="Times New Roman" w:eastAsia="Times New Roman" w:hAnsi="Times New Roman"/>
          <w:i w:val="1"/>
          <w:iCs w:val="1"/>
          <w:rtl w:val="0"/>
        </w:rPr>
        <w:t xml:space="preserve">Publication 503 (2025), Child and dependent care expenses</w:t>
      </w:r>
      <w:r w:rsidDel="00000000" w:rsidR="00000000" w:rsidRPr="00000000">
        <w:rPr>
          <w:rFonts w:ascii="Times New Roman" w:cs="Times New Roman" w:eastAsia="Times New Roman" w:hAnsi="Times New Roman"/>
          <w:rtl w:val="0"/>
        </w:rPr>
        <w:t xml:space="preserve">. U.S. Department of the Treasury. </w:t>
      </w:r>
      <w:hyperlink r:id="rId13">
        <w:r w:rsidDel="00000000" w:rsidR="00000000" w:rsidRPr="00000000">
          <w:rPr>
            <w:rFonts w:ascii="Times New Roman" w:cs="Times New Roman" w:eastAsia="Times New Roman" w:hAnsi="Times New Roman"/>
            <w:color w:val="1155cc"/>
            <w:u w:val="single"/>
            <w:rtl w:val="0"/>
          </w:rPr>
          <w:t xml:space="preserve">https://www.irs.gov/publications/p503</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9">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Kamarck, K. N. (2018). </w:t>
      </w:r>
      <w:r w:rsidDel="00000000" w:rsidR="00000000" w:rsidRPr="00000000">
        <w:rPr>
          <w:rFonts w:ascii="Times New Roman" w:cs="Times New Roman" w:eastAsia="Times New Roman" w:hAnsi="Times New Roman"/>
          <w:i w:val="1"/>
          <w:iCs w:val="1"/>
          <w:rtl w:val="0"/>
        </w:rPr>
        <w:t xml:space="preserve">Military child development program: Background and issues</w:t>
      </w:r>
      <w:r w:rsidDel="00000000" w:rsidR="00000000" w:rsidRPr="00000000">
        <w:rPr>
          <w:rFonts w:ascii="Times New Roman" w:cs="Times New Roman" w:eastAsia="Times New Roman" w:hAnsi="Times New Roman"/>
          <w:rtl w:val="0"/>
        </w:rPr>
        <w:t xml:space="preserve"> (CRS Report No. R45288). Congressional Research Service.</w:t>
      </w:r>
    </w:p>
    <w:p w:rsidR="00000000" w:rsidDel="00000000" w:rsidP="00000000" w:rsidRDefault="00000000" w:rsidRPr="00000000" w14:paraId="0000006A">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Kim, J. J., &amp; Liu, F. Y. (2021). Mothers’ nonstandard work schedules and the use of multiple and center-based childcare. </w:t>
      </w:r>
      <w:r w:rsidDel="00000000" w:rsidR="00000000" w:rsidRPr="00000000">
        <w:rPr>
          <w:rFonts w:ascii="Times New Roman" w:cs="Times New Roman" w:eastAsia="Times New Roman" w:hAnsi="Times New Roman"/>
          <w:i w:val="1"/>
          <w:iCs w:val="1"/>
          <w:rtl w:val="0"/>
        </w:rPr>
        <w:t xml:space="preserve">Children and Youth Services Review, 128</w:t>
      </w:r>
      <w:r w:rsidDel="00000000" w:rsidR="00000000" w:rsidRPr="00000000">
        <w:rPr>
          <w:rFonts w:ascii="Times New Roman" w:cs="Times New Roman" w:eastAsia="Times New Roman" w:hAnsi="Times New Roman"/>
          <w:rtl w:val="0"/>
        </w:rPr>
        <w:t xml:space="preserve">, Article 106156.</w:t>
      </w:r>
      <w:hyperlink r:id="rId14">
        <w:r w:rsidDel="00000000" w:rsidR="00000000" w:rsidRPr="00000000">
          <w:rPr>
            <w:rFonts w:ascii="Times New Roman" w:cs="Times New Roman" w:eastAsia="Times New Roman" w:hAnsi="Times New Roman"/>
            <w:rtl w:val="0"/>
          </w:rPr>
          <w:t xml:space="preserve"> </w:t>
        </w:r>
      </w:hyperlink>
      <w:hyperlink r:id="rId15">
        <w:r w:rsidDel="00000000" w:rsidR="00000000" w:rsidRPr="00000000">
          <w:rPr>
            <w:rFonts w:ascii="Times New Roman" w:cs="Times New Roman" w:eastAsia="Times New Roman" w:hAnsi="Times New Roman"/>
            <w:color w:val="1155cc"/>
            <w:u w:val="single"/>
            <w:rtl w:val="0"/>
          </w:rPr>
          <w:t xml:space="preserve">https://doi.org/10.1016/j.childyouth.2021.106156</w:t>
        </w:r>
      </w:hyperlink>
      <w:r w:rsidDel="00000000" w:rsidR="00000000" w:rsidRPr="00000000">
        <w:rPr>
          <w:rtl w:val="0"/>
        </w:rPr>
      </w:r>
    </w:p>
    <w:p w:rsidR="00000000" w:rsidDel="00000000" w:rsidP="00000000" w:rsidRDefault="00000000" w:rsidRPr="00000000" w14:paraId="0000006B">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Lanham Public War Housing Act, ch. 862, 54 Stat. 1125 (1940). </w:t>
      </w:r>
    </w:p>
    <w:p w:rsidR="00000000" w:rsidDel="00000000" w:rsidP="00000000" w:rsidRDefault="00000000" w:rsidRPr="00000000" w14:paraId="0000006C">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Leath, S., Marchand, A. D., Harrison, A., Halawah, A., Davis, C., &amp; Rowley, S. (2020). A qualitative exploration of Black mothers’ gendered constructions of their children and their parental school involvement. </w:t>
      </w:r>
      <w:r w:rsidDel="00000000" w:rsidR="00000000" w:rsidRPr="00000000">
        <w:rPr>
          <w:rFonts w:ascii="Times New Roman" w:cs="Times New Roman" w:eastAsia="Times New Roman" w:hAnsi="Times New Roman"/>
          <w:i w:val="1"/>
          <w:iCs w:val="1"/>
          <w:rtl w:val="0"/>
        </w:rPr>
        <w:t xml:space="preserve">Early Childhood Research Quarterly, 53</w:t>
      </w:r>
      <w:r w:rsidDel="00000000" w:rsidR="00000000" w:rsidRPr="00000000">
        <w:rPr>
          <w:rFonts w:ascii="Times New Roman" w:cs="Times New Roman" w:eastAsia="Times New Roman" w:hAnsi="Times New Roman"/>
          <w:rtl w:val="0"/>
        </w:rPr>
        <w:t xml:space="preserve">, 124–135.</w:t>
      </w:r>
      <w:hyperlink r:id="rId16">
        <w:r w:rsidDel="00000000" w:rsidR="00000000" w:rsidRPr="00000000">
          <w:rPr>
            <w:rFonts w:ascii="Times New Roman" w:cs="Times New Roman" w:eastAsia="Times New Roman" w:hAnsi="Times New Roman"/>
            <w:rtl w:val="0"/>
          </w:rPr>
          <w:t xml:space="preserve"> </w:t>
        </w:r>
      </w:hyperlink>
      <w:hyperlink r:id="rId17">
        <w:r w:rsidDel="00000000" w:rsidR="00000000" w:rsidRPr="00000000">
          <w:rPr>
            <w:rFonts w:ascii="Times New Roman" w:cs="Times New Roman" w:eastAsia="Times New Roman" w:hAnsi="Times New Roman"/>
            <w:color w:val="1155cc"/>
            <w:u w:val="single"/>
            <w:rtl w:val="0"/>
          </w:rPr>
          <w:t xml:space="preserve">https://doi.org/10.1016/j.ecresq.2020.03.007</w:t>
        </w:r>
      </w:hyperlink>
      <w:r w:rsidDel="00000000" w:rsidR="00000000" w:rsidRPr="00000000">
        <w:rPr>
          <w:rtl w:val="0"/>
        </w:rPr>
      </w:r>
    </w:p>
    <w:p w:rsidR="00000000" w:rsidDel="00000000" w:rsidP="00000000" w:rsidRDefault="00000000" w:rsidRPr="00000000" w14:paraId="0000006D">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Luengo-Prado, M. J., &amp; Zhao, B. (2026). </w:t>
      </w:r>
      <w:r w:rsidDel="00000000" w:rsidR="00000000" w:rsidRPr="00000000">
        <w:rPr>
          <w:rFonts w:ascii="Times New Roman" w:cs="Times New Roman" w:eastAsia="Times New Roman" w:hAnsi="Times New Roman"/>
          <w:i w:val="1"/>
          <w:iCs w:val="1"/>
          <w:rtl w:val="0"/>
        </w:rPr>
        <w:t xml:space="preserve">How do the availability and cost of childcare influence women’s labor market outcomes in New England?</w:t>
      </w:r>
      <w:r w:rsidDel="00000000" w:rsidR="00000000" w:rsidRPr="00000000">
        <w:rPr>
          <w:rFonts w:ascii="Times New Roman" w:cs="Times New Roman" w:eastAsia="Times New Roman" w:hAnsi="Times New Roman"/>
          <w:rtl w:val="0"/>
        </w:rPr>
        <w:t xml:space="preserve"> New England Public Policy Center, Federal Reserve Bank of Boston.</w:t>
      </w:r>
    </w:p>
    <w:p w:rsidR="00000000" w:rsidDel="00000000" w:rsidP="00000000" w:rsidRDefault="00000000" w:rsidRPr="00000000" w14:paraId="0000006E">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Lynch, K. E. (2014). </w:t>
      </w:r>
      <w:r w:rsidDel="00000000" w:rsidR="00000000" w:rsidRPr="00000000">
        <w:rPr>
          <w:rFonts w:ascii="Times New Roman" w:cs="Times New Roman" w:eastAsia="Times New Roman" w:hAnsi="Times New Roman"/>
          <w:i w:val="1"/>
          <w:iCs w:val="1"/>
          <w:rtl w:val="0"/>
        </w:rPr>
        <w:t xml:space="preserve">Head Start: Background and funding</w:t>
      </w:r>
      <w:r w:rsidDel="00000000" w:rsidR="00000000" w:rsidRPr="00000000">
        <w:rPr>
          <w:rFonts w:ascii="Times New Roman" w:cs="Times New Roman" w:eastAsia="Times New Roman" w:hAnsi="Times New Roman"/>
          <w:rtl w:val="0"/>
        </w:rPr>
        <w:t xml:space="preserve"> (CRS Report No. RL30952). Congressional Research Service.</w:t>
      </w:r>
    </w:p>
    <w:p w:rsidR="00000000" w:rsidDel="00000000" w:rsidP="00000000" w:rsidRDefault="00000000" w:rsidRPr="00000000" w14:paraId="0000006F">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Lynch, K. E. (2024, December 3). </w:t>
      </w:r>
      <w:r w:rsidDel="00000000" w:rsidR="00000000" w:rsidRPr="00000000">
        <w:rPr>
          <w:rFonts w:ascii="Times New Roman" w:cs="Times New Roman" w:eastAsia="Times New Roman" w:hAnsi="Times New Roman"/>
          <w:i w:val="1"/>
          <w:iCs w:val="1"/>
          <w:rtl w:val="0"/>
        </w:rPr>
        <w:t xml:space="preserve">The Child Care and Development Block Grant: In brief</w:t>
      </w:r>
      <w:r w:rsidDel="00000000" w:rsidR="00000000" w:rsidRPr="00000000">
        <w:rPr>
          <w:rFonts w:ascii="Times New Roman" w:cs="Times New Roman" w:eastAsia="Times New Roman" w:hAnsi="Times New Roman"/>
          <w:rtl w:val="0"/>
        </w:rPr>
        <w:t xml:space="preserve"> (CRS Report No. R47312). Congressional Research Service.</w:t>
      </w:r>
    </w:p>
    <w:p w:rsidR="00000000" w:rsidDel="00000000" w:rsidP="00000000" w:rsidRDefault="00000000" w:rsidRPr="00000000" w14:paraId="00000070">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National Women’s Law Center. (2025, December 15). </w:t>
      </w:r>
      <w:r w:rsidDel="00000000" w:rsidR="00000000" w:rsidRPr="00000000">
        <w:rPr>
          <w:rFonts w:ascii="Times New Roman" w:cs="Times New Roman" w:eastAsia="Times New Roman" w:hAnsi="Times New Roman"/>
          <w:i w:val="1"/>
          <w:iCs w:val="1"/>
          <w:rtl w:val="0"/>
        </w:rPr>
        <w:t xml:space="preserve">Child care problems disproportionately impacted Black women, Latinas, disabled women, and those with lower household incomes in 2024</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1">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Nixon, R. M. (1971, December 9). </w:t>
      </w:r>
      <w:r w:rsidDel="00000000" w:rsidR="00000000" w:rsidRPr="00000000">
        <w:rPr>
          <w:rFonts w:ascii="Times New Roman" w:cs="Times New Roman" w:eastAsia="Times New Roman" w:hAnsi="Times New Roman"/>
          <w:i w:val="1"/>
          <w:iCs w:val="1"/>
          <w:rtl w:val="0"/>
        </w:rPr>
        <w:t xml:space="preserve">Veto of the Economic Opportunity Amendments of 1971</w:t>
      </w:r>
      <w:r w:rsidDel="00000000" w:rsidR="00000000" w:rsidRPr="00000000">
        <w:rPr>
          <w:rFonts w:ascii="Times New Roman" w:cs="Times New Roman" w:eastAsia="Times New Roman" w:hAnsi="Times New Roman"/>
          <w:rtl w:val="0"/>
        </w:rPr>
        <w:t xml:space="preserve">. The American Presidency Project.</w:t>
      </w:r>
    </w:p>
    <w:p w:rsidR="00000000" w:rsidDel="00000000" w:rsidP="00000000" w:rsidRDefault="00000000" w:rsidRPr="00000000" w14:paraId="00000072">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Roth, W. (1976, December). </w:t>
      </w:r>
      <w:r w:rsidDel="00000000" w:rsidR="00000000" w:rsidRPr="00000000">
        <w:rPr>
          <w:rFonts w:ascii="Times New Roman" w:cs="Times New Roman" w:eastAsia="Times New Roman" w:hAnsi="Times New Roman"/>
          <w:i w:val="1"/>
          <w:iCs w:val="1"/>
          <w:rtl w:val="0"/>
        </w:rPr>
        <w:t xml:space="preserve">The politics of daycare: The Comprehensive Child Development Act of 1971</w:t>
      </w:r>
      <w:r w:rsidDel="00000000" w:rsidR="00000000" w:rsidRPr="00000000">
        <w:rPr>
          <w:rFonts w:ascii="Times New Roman" w:cs="Times New Roman" w:eastAsia="Times New Roman" w:hAnsi="Times New Roman"/>
          <w:rtl w:val="0"/>
        </w:rPr>
        <w:t xml:space="preserve"> (Discussion Paper No. 369-76). Institute for Research on Poverty, University of Wisconsin–Madison.</w:t>
      </w:r>
    </w:p>
    <w:p w:rsidR="00000000" w:rsidDel="00000000" w:rsidP="00000000" w:rsidRDefault="00000000" w:rsidRPr="00000000" w14:paraId="00000073">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Silwal, A. R., &amp; DiTommaso, A. (2026). </w:t>
      </w:r>
      <w:r w:rsidDel="00000000" w:rsidR="00000000" w:rsidRPr="00000000">
        <w:rPr>
          <w:rFonts w:ascii="Times New Roman" w:cs="Times New Roman" w:eastAsia="Times New Roman" w:hAnsi="Times New Roman"/>
          <w:i w:val="1"/>
          <w:iCs w:val="1"/>
          <w:rtl w:val="0"/>
        </w:rPr>
        <w:t xml:space="preserve">Child care challenges and adaptations: Findings from the 2025 CPS ASEC</w:t>
      </w:r>
      <w:r w:rsidDel="00000000" w:rsidR="00000000" w:rsidRPr="00000000">
        <w:rPr>
          <w:rFonts w:ascii="Times New Roman" w:cs="Times New Roman" w:eastAsia="Times New Roman" w:hAnsi="Times New Roman"/>
          <w:rtl w:val="0"/>
        </w:rPr>
        <w:t xml:space="preserve"> (SEHSD Working Paper No. 2026-08). U.S. Census Bureau.</w:t>
      </w:r>
    </w:p>
    <w:p w:rsidR="00000000" w:rsidDel="00000000" w:rsidP="00000000" w:rsidRDefault="00000000" w:rsidRPr="00000000" w14:paraId="00000074">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Stoltzfus, E. (2000, June 29). </w:t>
      </w:r>
      <w:r w:rsidDel="00000000" w:rsidR="00000000" w:rsidRPr="00000000">
        <w:rPr>
          <w:rFonts w:ascii="Times New Roman" w:cs="Times New Roman" w:eastAsia="Times New Roman" w:hAnsi="Times New Roman"/>
          <w:i w:val="1"/>
          <w:iCs w:val="1"/>
          <w:rtl w:val="0"/>
        </w:rPr>
        <w:t xml:space="preserve">Child care: The federal role during World War II</w:t>
      </w:r>
      <w:r w:rsidDel="00000000" w:rsidR="00000000" w:rsidRPr="00000000">
        <w:rPr>
          <w:rFonts w:ascii="Times New Roman" w:cs="Times New Roman" w:eastAsia="Times New Roman" w:hAnsi="Times New Roman"/>
          <w:rtl w:val="0"/>
        </w:rPr>
        <w:t xml:space="preserve"> (CRS Report No. RS20615). Congressional Research Service.</w:t>
      </w:r>
    </w:p>
    <w:p w:rsidR="00000000" w:rsidDel="00000000" w:rsidP="00000000" w:rsidRDefault="00000000" w:rsidRPr="00000000" w14:paraId="00000075">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Toossi, M., &amp; Morisi, T. L. (2017, July). </w:t>
      </w:r>
      <w:r w:rsidDel="00000000" w:rsidR="00000000" w:rsidRPr="00000000">
        <w:rPr>
          <w:rFonts w:ascii="Times New Roman" w:cs="Times New Roman" w:eastAsia="Times New Roman" w:hAnsi="Times New Roman"/>
          <w:i w:val="1"/>
          <w:iCs w:val="1"/>
          <w:rtl w:val="0"/>
        </w:rPr>
        <w:t xml:space="preserve">Women in the workforce before, during, and after the Great Recession</w:t>
      </w:r>
      <w:r w:rsidDel="00000000" w:rsidR="00000000" w:rsidRPr="00000000">
        <w:rPr>
          <w:rFonts w:ascii="Times New Roman" w:cs="Times New Roman" w:eastAsia="Times New Roman" w:hAnsi="Times New Roman"/>
          <w:rtl w:val="0"/>
        </w:rPr>
        <w:t xml:space="preserve">. U.S. Bureau of Labor Statistics.</w:t>
      </w:r>
    </w:p>
    <w:p w:rsidR="00000000" w:rsidDel="00000000" w:rsidP="00000000" w:rsidRDefault="00000000" w:rsidRPr="00000000" w14:paraId="00000076">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Bureau of Labor Statistics. (2024). </w:t>
      </w:r>
      <w:r w:rsidDel="00000000" w:rsidR="00000000" w:rsidRPr="00000000">
        <w:rPr>
          <w:rFonts w:ascii="Times New Roman" w:cs="Times New Roman" w:eastAsia="Times New Roman" w:hAnsi="Times New Roman"/>
          <w:i w:val="1"/>
          <w:iCs w:val="1"/>
          <w:rtl w:val="0"/>
        </w:rPr>
        <w:t xml:space="preserve">Labor force characteristics by race and ethnicity, 2023</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7">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Census Bureau. (2026). </w:t>
      </w:r>
      <w:r w:rsidDel="00000000" w:rsidR="00000000" w:rsidRPr="00000000">
        <w:rPr>
          <w:rFonts w:ascii="Times New Roman" w:cs="Times New Roman" w:eastAsia="Times New Roman" w:hAnsi="Times New Roman"/>
          <w:i w:val="1"/>
          <w:iCs w:val="1"/>
          <w:rtl w:val="0"/>
        </w:rPr>
        <w:t xml:space="preserve">Income in the United States: 2025</w:t>
      </w:r>
      <w:r w:rsidDel="00000000" w:rsidR="00000000" w:rsidRPr="00000000">
        <w:rPr>
          <w:rFonts w:ascii="Times New Roman" w:cs="Times New Roman" w:eastAsia="Times New Roman" w:hAnsi="Times New Roman"/>
          <w:rtl w:val="0"/>
        </w:rPr>
        <w:t xml:space="preserve"> (P60-289). </w:t>
      </w:r>
    </w:p>
    <w:p w:rsidR="00000000" w:rsidDel="00000000" w:rsidP="00000000" w:rsidRDefault="00000000" w:rsidRPr="00000000" w14:paraId="00000078">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Department of Health and Human Services, Administration for Children and Families. (2016). Child Care and Development Fund (CCDF) program. </w:t>
      </w:r>
      <w:r w:rsidDel="00000000" w:rsidR="00000000" w:rsidRPr="00000000">
        <w:rPr>
          <w:rFonts w:ascii="Times New Roman" w:cs="Times New Roman" w:eastAsia="Times New Roman" w:hAnsi="Times New Roman"/>
          <w:i w:val="1"/>
          <w:iCs w:val="1"/>
          <w:rtl w:val="0"/>
        </w:rPr>
        <w:t xml:space="preserve">Federal Register, 81</w:t>
      </w:r>
      <w:r w:rsidDel="00000000" w:rsidR="00000000" w:rsidRPr="00000000">
        <w:rPr>
          <w:rFonts w:ascii="Times New Roman" w:cs="Times New Roman" w:eastAsia="Times New Roman" w:hAnsi="Times New Roman"/>
          <w:rtl w:val="0"/>
        </w:rPr>
        <w:t xml:space="preserve">(190), 67438–67595.</w:t>
      </w:r>
    </w:p>
    <w:p w:rsidR="00000000" w:rsidDel="00000000" w:rsidP="00000000" w:rsidRDefault="00000000" w:rsidRPr="00000000" w14:paraId="00000079">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 Department of Labor. (2016, October 26). </w:t>
      </w:r>
      <w:r w:rsidDel="00000000" w:rsidR="00000000" w:rsidRPr="00000000">
        <w:rPr>
          <w:rFonts w:ascii="Times New Roman" w:cs="Times New Roman" w:eastAsia="Times New Roman" w:hAnsi="Times New Roman"/>
          <w:i w:val="1"/>
          <w:iCs w:val="1"/>
          <w:rtl w:val="0"/>
        </w:rPr>
        <w:t xml:space="preserve">U.S. Labor Secretary Perez’s blog post stresses need for affordable child care</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7A">
      <w:pPr>
        <w:spacing w:after="160" w:line="480" w:lineRule="auto"/>
        <w:ind w:left="720" w:hanging="72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United Way of the National Capital Area. (2023, October 14). </w:t>
      </w:r>
      <w:r w:rsidDel="00000000" w:rsidR="00000000" w:rsidRPr="00000000">
        <w:rPr>
          <w:rFonts w:ascii="Times New Roman" w:cs="Times New Roman" w:eastAsia="Times New Roman" w:hAnsi="Times New Roman"/>
          <w:i w:val="1"/>
          <w:iCs w:val="1"/>
          <w:rtl w:val="0"/>
        </w:rPr>
        <w:t xml:space="preserve">The childcare cost burden for low-income households around the U.S.</w:t>
      </w:r>
    </w:p>
    <w:p w:rsidR="00000000" w:rsidDel="00000000" w:rsidP="00000000" w:rsidRDefault="00000000" w:rsidRPr="00000000" w14:paraId="0000007B">
      <w:pPr>
        <w:spacing w:after="160" w:line="480" w:lineRule="auto"/>
        <w:ind w:left="720" w:hanging="720"/>
        <w:rPr>
          <w:rFonts w:ascii="Times New Roman" w:cs="Times New Roman" w:eastAsia="Times New Roman" w:hAnsi="Times New Roman"/>
          <w:color w:val="1155cc"/>
          <w:u w:val="single"/>
        </w:rPr>
      </w:pPr>
      <w:r w:rsidDel="00000000" w:rsidR="00000000" w:rsidRPr="00000000">
        <w:rPr>
          <w:rFonts w:ascii="Times New Roman" w:cs="Times New Roman" w:eastAsia="Times New Roman" w:hAnsi="Times New Roman"/>
          <w:rtl w:val="0"/>
        </w:rPr>
        <w:t xml:space="preserve">Uttal, L. (1996). Racial safety and cultural maintenance: The childcare concerns of employed mothers of color. </w:t>
      </w:r>
      <w:r w:rsidDel="00000000" w:rsidR="00000000" w:rsidRPr="00000000">
        <w:rPr>
          <w:rFonts w:ascii="Times New Roman" w:cs="Times New Roman" w:eastAsia="Times New Roman" w:hAnsi="Times New Roman"/>
          <w:i w:val="1"/>
          <w:iCs w:val="1"/>
          <w:rtl w:val="0"/>
        </w:rPr>
        <w:t xml:space="preserve">Ethnic Studies Review, 19</w:t>
      </w:r>
      <w:r w:rsidDel="00000000" w:rsidR="00000000" w:rsidRPr="00000000">
        <w:rPr>
          <w:rFonts w:ascii="Times New Roman" w:cs="Times New Roman" w:eastAsia="Times New Roman" w:hAnsi="Times New Roman"/>
          <w:rtl w:val="0"/>
        </w:rPr>
        <w:t xml:space="preserve">(1), 43–59.</w:t>
      </w:r>
      <w:hyperlink r:id="rId18">
        <w:r w:rsidDel="00000000" w:rsidR="00000000" w:rsidRPr="00000000">
          <w:rPr>
            <w:rFonts w:ascii="Times New Roman" w:cs="Times New Roman" w:eastAsia="Times New Roman" w:hAnsi="Times New Roman"/>
            <w:rtl w:val="0"/>
          </w:rPr>
          <w:t xml:space="preserve"> </w:t>
        </w:r>
      </w:hyperlink>
      <w:hyperlink r:id="rId19">
        <w:r w:rsidDel="00000000" w:rsidR="00000000" w:rsidRPr="00000000">
          <w:rPr>
            <w:rFonts w:ascii="Times New Roman" w:cs="Times New Roman" w:eastAsia="Times New Roman" w:hAnsi="Times New Roman"/>
            <w:color w:val="1155cc"/>
            <w:u w:val="single"/>
            <w:rtl w:val="0"/>
          </w:rPr>
          <w:t xml:space="preserve">https://doi.org/10.1525/esr.1996.19.1.43</w:t>
        </w:r>
      </w:hyperlink>
      <w:r w:rsidDel="00000000" w:rsidR="00000000" w:rsidRPr="00000000">
        <w:rPr>
          <w:rtl w:val="0"/>
        </w:rPr>
      </w:r>
    </w:p>
    <w:p w:rsidR="00000000" w:rsidDel="00000000" w:rsidP="00000000" w:rsidRDefault="00000000" w:rsidRPr="00000000" w14:paraId="0000007C">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Washington State Department of Children, Youth, and Families. (2022). </w:t>
      </w:r>
      <w:r w:rsidDel="00000000" w:rsidR="00000000" w:rsidRPr="00000000">
        <w:rPr>
          <w:rFonts w:ascii="Times New Roman" w:cs="Times New Roman" w:eastAsia="Times New Roman" w:hAnsi="Times New Roman"/>
          <w:i w:val="1"/>
          <w:iCs w:val="1"/>
          <w:rtl w:val="0"/>
        </w:rPr>
        <w:t xml:space="preserve">Non-standard hours rate model</w:t>
      </w:r>
      <w:r w:rsidDel="00000000" w:rsidR="00000000" w:rsidRPr="00000000">
        <w:rPr>
          <w:rFonts w:ascii="Times New Roman" w:cs="Times New Roman" w:eastAsia="Times New Roman" w:hAnsi="Times New Roman"/>
          <w:rtl w:val="0"/>
        </w:rPr>
        <w:t xml:space="preserve">.</w:t>
        <w:tab/>
      </w:r>
    </w:p>
    <w:p w:rsidR="00000000" w:rsidDel="00000000" w:rsidP="00000000" w:rsidRDefault="00000000" w:rsidRPr="00000000" w14:paraId="0000007D">
      <w:pPr>
        <w:spacing w:after="160" w:line="480" w:lineRule="auto"/>
        <w:ind w:left="1440" w:hanging="720"/>
        <w:rPr>
          <w:rFonts w:ascii="Times New Roman" w:cs="Times New Roman" w:eastAsia="Times New Roman" w:hAnsi="Times New Roman"/>
        </w:rPr>
      </w:pPr>
      <w:hyperlink r:id="rId20">
        <w:r w:rsidDel="00000000" w:rsidR="00000000" w:rsidRPr="00000000">
          <w:rPr>
            <w:rFonts w:ascii="Times New Roman" w:cs="Times New Roman" w:eastAsia="Times New Roman" w:hAnsi="Times New Roman"/>
            <w:color w:val="1155cc"/>
            <w:u w:val="single"/>
            <w:rtl w:val="0"/>
          </w:rPr>
          <w:t xml:space="preserve">https://www.dcyf.wa.gov/sites/default/files/pdf/reports/NonstandardHoursRateModel2022.pdf</w:t>
        </w:r>
      </w:hyperlink>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7E">
      <w:pPr>
        <w:spacing w:after="160" w:line="480" w:lineRule="auto"/>
        <w:ind w:left="720" w:hanging="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Yellen, J. L. (2017, May 5). </w:t>
      </w:r>
      <w:r w:rsidDel="00000000" w:rsidR="00000000" w:rsidRPr="00000000">
        <w:rPr>
          <w:rFonts w:ascii="Times New Roman" w:cs="Times New Roman" w:eastAsia="Times New Roman" w:hAnsi="Times New Roman"/>
          <w:i w:val="1"/>
          <w:iCs w:val="1"/>
          <w:rtl w:val="0"/>
        </w:rPr>
        <w:t xml:space="preserve">So we all can succeed: 125 years of women’s participation in the economy</w:t>
      </w:r>
      <w:r w:rsidDel="00000000" w:rsidR="00000000" w:rsidRPr="00000000">
        <w:rPr>
          <w:rFonts w:ascii="Times New Roman" w:cs="Times New Roman" w:eastAsia="Times New Roman" w:hAnsi="Times New Roman"/>
          <w:rtl w:val="0"/>
        </w:rPr>
        <w:t xml:space="preserve"> [Speech]. Board of Governors of the Federal Reserve System.</w:t>
      </w:r>
    </w:p>
    <w:p w:rsidR="00000000" w:rsidDel="00000000" w:rsidP="00000000" w:rsidRDefault="00000000" w:rsidRPr="00000000" w14:paraId="0000007F">
      <w:pPr>
        <w:spacing w:after="160" w:lineRule="auto"/>
        <w:jc w:val="center"/>
        <w:rPr/>
      </w:pP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cyf.wa.gov/sites/default/files/pdf/reports/NonstandardHoursRateModel2022.pdf?utm_source=chatgpt.com" TargetMode="External"/><Relationship Id="rId11" Type="http://schemas.openxmlformats.org/officeDocument/2006/relationships/hyperlink" Target="https://doi.org/10.1016/j.ecresq.2023.03.006" TargetMode="External"/><Relationship Id="rId10" Type="http://schemas.openxmlformats.org/officeDocument/2006/relationships/hyperlink" Target="https://doi.org/10.1093/9780197852675.003.0063" TargetMode="External"/><Relationship Id="rId13" Type="http://schemas.openxmlformats.org/officeDocument/2006/relationships/hyperlink" Target="https://www.irs.gov/publications/p503?utm_source=chatgpt.com" TargetMode="External"/><Relationship Id="rId12" Type="http://schemas.openxmlformats.org/officeDocument/2006/relationships/hyperlink" Target="https://doi.org/10.1016/j.ecresq.2023.03.006"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73/pnas.2107828118" TargetMode="External"/><Relationship Id="rId15" Type="http://schemas.openxmlformats.org/officeDocument/2006/relationships/hyperlink" Target="https://doi.org/10.1016/j.childyouth.2021.106156" TargetMode="External"/><Relationship Id="rId14" Type="http://schemas.openxmlformats.org/officeDocument/2006/relationships/hyperlink" Target="https://doi.org/10.1016/j.childyouth.2021.106156" TargetMode="External"/><Relationship Id="rId17" Type="http://schemas.openxmlformats.org/officeDocument/2006/relationships/hyperlink" Target="https://doi.org/10.1016/j.ecresq.2020.03.007" TargetMode="External"/><Relationship Id="rId16" Type="http://schemas.openxmlformats.org/officeDocument/2006/relationships/hyperlink" Target="https://doi.org/10.1016/j.ecresq.2020.03.007" TargetMode="External"/><Relationship Id="rId5" Type="http://schemas.openxmlformats.org/officeDocument/2006/relationships/styles" Target="styles.xml"/><Relationship Id="rId19" Type="http://schemas.openxmlformats.org/officeDocument/2006/relationships/hyperlink" Target="https://doi.org/10.1525/esr.1996.19.1.43" TargetMode="External"/><Relationship Id="rId6" Type="http://schemas.openxmlformats.org/officeDocument/2006/relationships/image" Target="media/image1.png"/><Relationship Id="rId18" Type="http://schemas.openxmlformats.org/officeDocument/2006/relationships/hyperlink" Target="https://doi.org/10.1525/esr.1996.19.1.43" TargetMode="External"/><Relationship Id="rId7" Type="http://schemas.openxmlformats.org/officeDocument/2006/relationships/hyperlink" Target="https://doi.org/10.1377/hlthaff.2021.01400" TargetMode="External"/><Relationship Id="rId8" Type="http://schemas.openxmlformats.org/officeDocument/2006/relationships/hyperlink" Target="https://doi.org/10.1377/hlthaff.2021.014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